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31886" w14:textId="0A880AED" w:rsidR="00F12F73" w:rsidRDefault="00F12F73" w:rsidP="00C50E04">
      <w:pPr>
        <w:pStyle w:val="Ttulo1"/>
      </w:pPr>
      <w:r>
        <w:t>Listado de paraísos fiscales fue modificado para el año 2025 y siguientes</w:t>
      </w:r>
    </w:p>
    <w:p w14:paraId="619341C4" w14:textId="426F58D8" w:rsidR="00FC1F19" w:rsidRPr="00FC1F19" w:rsidRDefault="00FC1F19" w:rsidP="00FC1F19">
      <w:pPr>
        <w:rPr>
          <w:color w:val="FF0000"/>
          <w:lang w:val="es-ES_tradnl" w:eastAsia="es-ES"/>
        </w:rPr>
      </w:pPr>
      <w:r w:rsidRPr="00FC1F19">
        <w:rPr>
          <w:color w:val="FF0000"/>
          <w:lang w:val="es-ES_tradnl" w:eastAsia="es-ES"/>
        </w:rPr>
        <w:t>(elaborado: Diciembre 15 de 2024)</w:t>
      </w:r>
    </w:p>
    <w:p w14:paraId="5326B75A" w14:textId="14E79E24" w:rsidR="00C46B82" w:rsidRDefault="00DB3C14" w:rsidP="00C50E04">
      <w:pPr>
        <w:pStyle w:val="Ttulo1"/>
      </w:pPr>
      <w:r>
        <w:rPr>
          <w:noProof/>
          <w:lang w:eastAsia="es-ES_trad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D9D75D" wp14:editId="5B36AE99">
                <wp:simplePos x="0" y="0"/>
                <wp:positionH relativeFrom="column">
                  <wp:posOffset>37465</wp:posOffset>
                </wp:positionH>
                <wp:positionV relativeFrom="paragraph">
                  <wp:posOffset>64101</wp:posOffset>
                </wp:positionV>
                <wp:extent cx="5390147" cy="1053431"/>
                <wp:effectExtent l="0" t="0" r="7620" b="13970"/>
                <wp:wrapNone/>
                <wp:docPr id="108537063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0147" cy="10534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3C6F94" w14:textId="4D089F70" w:rsidR="00DB3C14" w:rsidRPr="00DB3C14" w:rsidRDefault="005428B9">
                            <w:pPr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 xml:space="preserve">Luego de 10 años, el </w:t>
                            </w:r>
                            <w:r w:rsidR="00DB3C14">
                              <w:rPr>
                                <w:lang w:val="es-ES"/>
                              </w:rPr>
                              <w:t xml:space="preserve">Decreto 1496 de diciembre 13 de 2024 </w:t>
                            </w:r>
                            <w:r>
                              <w:rPr>
                                <w:lang w:val="es-ES"/>
                              </w:rPr>
                              <w:t>hizo la primera modificación al listado de los territorios o países que a partir del 2025 continuarán siendo considerados como jurisdicciones no cooperantes y de baja o nula imposición</w:t>
                            </w:r>
                            <w:r w:rsidR="00DB3C14">
                              <w:rPr>
                                <w:lang w:val="es-ES"/>
                              </w:rPr>
                              <w:t>.</w:t>
                            </w:r>
                            <w:r>
                              <w:rPr>
                                <w:lang w:val="es-ES"/>
                              </w:rPr>
                              <w:t xml:space="preserve"> La lista, que se redujo de 37 a 25 países y territorios, se debe tomar en cuenta para múltiples asuntos relacionados con el impuesto de renta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D9D75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2.95pt;margin-top:5.05pt;width:424.4pt;height:82.9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" fillcolor="white [3201]" strokeweight=".5pt">
                <v:textbox>
                  <w:txbxContent>
                    <w:p w14:paraId="023C6F94" w14:textId="4D089F70" w:rsidR="00DB3C14" w:rsidRPr="00DB3C14" w:rsidRDefault="005428B9">
                      <w:pPr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 xml:space="preserve">Luego de 10 años, el </w:t>
                      </w:r>
                      <w:r w:rsidR="00DB3C14">
                        <w:rPr>
                          <w:lang w:val="es-ES"/>
                        </w:rPr>
                        <w:t xml:space="preserve">Decreto 1496 de diciembre 13 de 2024 </w:t>
                      </w:r>
                      <w:r>
                        <w:rPr>
                          <w:lang w:val="es-ES"/>
                        </w:rPr>
                        <w:t xml:space="preserve">hizo la primera modificación al listado </w:t>
                      </w:r>
                      <w:r>
                        <w:rPr>
                          <w:lang w:val="es-ES"/>
                        </w:rPr>
                        <w:t>de los territorios o países que a partir del 2025 continuarán siendo considerados como jurisdicciones no cooperantes y de baja o nula imposición</w:t>
                      </w:r>
                      <w:r w:rsidR="00DB3C14">
                        <w:rPr>
                          <w:lang w:val="es-ES"/>
                        </w:rPr>
                        <w:t>.</w:t>
                      </w:r>
                      <w:r>
                        <w:rPr>
                          <w:lang w:val="es-ES"/>
                        </w:rPr>
                        <w:t xml:space="preserve"> La lista, que se redujo de 37 a 25 países y territorios, se debe tomar en cuenta para múltiples asuntos relacionados con el impuesto de renta</w:t>
                      </w:r>
                    </w:p>
                  </w:txbxContent>
                </v:textbox>
              </v:shape>
            </w:pict>
          </mc:Fallback>
        </mc:AlternateContent>
      </w:r>
    </w:p>
    <w:p w14:paraId="36E7C3F2" w14:textId="77777777" w:rsidR="00482B72" w:rsidRDefault="00482B72" w:rsidP="00482B72"/>
    <w:p w14:paraId="6B2AA63D" w14:textId="77777777" w:rsidR="00DB3C14" w:rsidRDefault="00DB3C14" w:rsidP="00482B72"/>
    <w:p w14:paraId="3551B980" w14:textId="77777777" w:rsidR="00DB3C14" w:rsidRDefault="00DB3C14" w:rsidP="00482B72"/>
    <w:p w14:paraId="145C343D" w14:textId="77777777" w:rsidR="005428B9" w:rsidRDefault="005428B9" w:rsidP="00482B72"/>
    <w:p w14:paraId="7A5E005C" w14:textId="446C9350" w:rsidR="00482B72" w:rsidRPr="00482B72" w:rsidRDefault="00482B72" w:rsidP="00482B72">
      <w:r>
        <w:t xml:space="preserve">El </w:t>
      </w:r>
      <w:hyperlink r:id="rId5" w:history="1">
        <w:r w:rsidRPr="00785C50">
          <w:rPr>
            <w:rStyle w:val="Hipervnculo"/>
          </w:rPr>
          <w:t>pasado</w:t>
        </w:r>
        <w:r w:rsidR="00480752" w:rsidRPr="00785C50">
          <w:rPr>
            <w:rStyle w:val="Hipervnculo"/>
          </w:rPr>
          <w:t xml:space="preserve"> 13 de diciembre de 2024 el Ministerio de Hacienda expidió su Decreto 1496</w:t>
        </w:r>
      </w:hyperlink>
      <w:r w:rsidR="00480752">
        <w:t xml:space="preserve"> para reglamentar el </w:t>
      </w:r>
      <w:hyperlink r:id="rId6" w:anchor="260-7" w:history="1">
        <w:r w:rsidR="00480752" w:rsidRPr="002762F2">
          <w:rPr>
            <w:rStyle w:val="Hipervnculo"/>
          </w:rPr>
          <w:t>artículo 260-7 del ET</w:t>
        </w:r>
      </w:hyperlink>
      <w:r w:rsidR="00480752">
        <w:t xml:space="preserve"> y procedió a modificar el </w:t>
      </w:r>
      <w:hyperlink r:id="rId7" w:anchor="1.2.2.5.1" w:history="1">
        <w:r w:rsidR="00480752" w:rsidRPr="00480752">
          <w:rPr>
            <w:rStyle w:val="Hipervnculo"/>
          </w:rPr>
          <w:t>artículo 1.2.2.5.1 del DUT 1625 de 2016</w:t>
        </w:r>
      </w:hyperlink>
      <w:r w:rsidR="00480752">
        <w:t xml:space="preserve"> reduciendo de esa forma, para los años gravables 2025 y siguientes, el listado de territorios y/o países que serán considerados como jurisdicciones no cooperantes y de baja o nula imposición (antiguamente denominados “paraísos fiscales)</w:t>
      </w:r>
    </w:p>
    <w:p w14:paraId="0F54C7B9" w14:textId="2D793784" w:rsidR="009D436C" w:rsidRDefault="009D436C"/>
    <w:p w14:paraId="340CBFCE" w14:textId="32915E65" w:rsidR="00480752" w:rsidRDefault="00480752">
      <w:r>
        <w:t xml:space="preserve">Al respecto, y tal como </w:t>
      </w:r>
      <w:hyperlink r:id="rId8" w:history="1">
        <w:r w:rsidRPr="00480752">
          <w:rPr>
            <w:rStyle w:val="Hipervnculo"/>
          </w:rPr>
          <w:t>lo hemos destacado en editoriales anteriores</w:t>
        </w:r>
      </w:hyperlink>
      <w:r>
        <w:t xml:space="preserve">, el mencionado listado de países y territorios considerados como jurisdicciones no cooperantes y de baja o nula imposición no había sido modificado desde hace 10 años atrás, pues la única vez que se había fijado dicho listado fue mediante </w:t>
      </w:r>
      <w:hyperlink r:id="rId9" w:anchor="1" w:history="1">
        <w:r w:rsidRPr="00480752">
          <w:rPr>
            <w:rStyle w:val="Hipervnculo"/>
          </w:rPr>
          <w:t>el Decreto 1966 de octubre de 2014</w:t>
        </w:r>
      </w:hyperlink>
    </w:p>
    <w:p w14:paraId="427EB762" w14:textId="77777777" w:rsidR="009D436C" w:rsidRDefault="009D436C" w:rsidP="009D436C"/>
    <w:p w14:paraId="0AF2398B" w14:textId="77777777" w:rsidR="005207BD" w:rsidRDefault="005207BD" w:rsidP="009D436C">
      <w:r>
        <w:t xml:space="preserve">Por tanto, al fijarnos en el nuevo listado que se fijó con el Decreto 1496 de diciembre de 2024 se puede comprobar que el gobierno decidió reducir de 37 a solo 25 el listado de los países y territorios que seguirán siendo considerados como jurisdicciones no cooperantes y de baja o nula imposición. </w:t>
      </w:r>
    </w:p>
    <w:p w14:paraId="63F2EB06" w14:textId="77777777" w:rsidR="005207BD" w:rsidRDefault="005207BD" w:rsidP="009D436C"/>
    <w:p w14:paraId="6F131E5B" w14:textId="1637EE17" w:rsidR="005207BD" w:rsidRDefault="005207BD" w:rsidP="005207BD">
      <w:r>
        <w:t>Para entender cuáles fueron los países retirados de la lista y cuáles los que continuarán en la misma, a continuación presentamos una versión comparativa del mencionado listado</w:t>
      </w:r>
      <w:r w:rsidR="002762F2">
        <w:t xml:space="preserve"> (hemos subrayado aquellos que ya fueron retirados de la lista)</w:t>
      </w:r>
    </w:p>
    <w:p w14:paraId="639B3EFF" w14:textId="77777777" w:rsidR="005207BD" w:rsidRDefault="005207BD" w:rsidP="005207BD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2835"/>
      </w:tblGrid>
      <w:tr w:rsidR="005207BD" w14:paraId="40A96D9F" w14:textId="77777777" w:rsidTr="002762F2">
        <w:tc>
          <w:tcPr>
            <w:tcW w:w="846" w:type="dxa"/>
          </w:tcPr>
          <w:p w14:paraId="3C503ECB" w14:textId="77777777" w:rsidR="005207BD" w:rsidRPr="002762F2" w:rsidRDefault="005207BD" w:rsidP="005207BD">
            <w:pPr>
              <w:rPr>
                <w:i/>
                <w:iCs/>
                <w:color w:val="0070C0"/>
              </w:rPr>
            </w:pPr>
          </w:p>
        </w:tc>
        <w:tc>
          <w:tcPr>
            <w:tcW w:w="3260" w:type="dxa"/>
          </w:tcPr>
          <w:p w14:paraId="4DE8D569" w14:textId="350BF190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i/>
                <w:iCs/>
                <w:color w:val="0070C0"/>
              </w:rPr>
              <w:t>Versión anterior del listado</w:t>
            </w:r>
          </w:p>
        </w:tc>
        <w:tc>
          <w:tcPr>
            <w:tcW w:w="2835" w:type="dxa"/>
          </w:tcPr>
          <w:p w14:paraId="6D85CA29" w14:textId="2B038D9A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i/>
                <w:iCs/>
                <w:color w:val="0070C0"/>
              </w:rPr>
              <w:t>Nueva versión del listado</w:t>
            </w:r>
          </w:p>
        </w:tc>
      </w:tr>
      <w:tr w:rsidR="005207BD" w14:paraId="1D8F4C0A" w14:textId="77777777" w:rsidTr="002762F2">
        <w:tc>
          <w:tcPr>
            <w:tcW w:w="846" w:type="dxa"/>
          </w:tcPr>
          <w:p w14:paraId="3EDF47CD" w14:textId="0FB19E26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1.</w:t>
            </w:r>
          </w:p>
        </w:tc>
        <w:tc>
          <w:tcPr>
            <w:tcW w:w="3260" w:type="dxa"/>
          </w:tcPr>
          <w:p w14:paraId="3118D852" w14:textId="2C0CD71F" w:rsidR="005207BD" w:rsidRPr="002762F2" w:rsidRDefault="005207BD" w:rsidP="005207BD">
            <w:pPr>
              <w:rPr>
                <w:b/>
                <w:bCs/>
                <w:i/>
                <w:iCs/>
                <w:color w:val="0070C0"/>
                <w:u w:val="single"/>
              </w:rPr>
            </w:pPr>
            <w:r w:rsidRPr="002762F2">
              <w:rPr>
                <w:rStyle w:val="letra8pt"/>
                <w:rFonts w:ascii="Roboto Condensed" w:hAnsi="Roboto Condensed"/>
                <w:b/>
                <w:bCs/>
                <w:i/>
                <w:iCs/>
                <w:color w:val="0070C0"/>
                <w:spacing w:val="2"/>
                <w:highlight w:val="yellow"/>
                <w:u w:val="single"/>
              </w:rPr>
              <w:t>Antigua y Barbuda</w:t>
            </w:r>
          </w:p>
        </w:tc>
        <w:tc>
          <w:tcPr>
            <w:tcW w:w="2835" w:type="dxa"/>
          </w:tcPr>
          <w:p w14:paraId="16D2518D" w14:textId="3CE214DF" w:rsidR="005207BD" w:rsidRPr="002762F2" w:rsidRDefault="005207BD" w:rsidP="005207BD">
            <w:pPr>
              <w:rPr>
                <w:i/>
                <w:iCs/>
                <w:color w:val="0070C0"/>
              </w:rPr>
            </w:pPr>
          </w:p>
        </w:tc>
      </w:tr>
      <w:tr w:rsidR="005207BD" w14:paraId="26F99814" w14:textId="77777777" w:rsidTr="002762F2">
        <w:tc>
          <w:tcPr>
            <w:tcW w:w="846" w:type="dxa"/>
          </w:tcPr>
          <w:p w14:paraId="1D64EFDB" w14:textId="03A58666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2.</w:t>
            </w:r>
          </w:p>
        </w:tc>
        <w:tc>
          <w:tcPr>
            <w:tcW w:w="3260" w:type="dxa"/>
          </w:tcPr>
          <w:p w14:paraId="386718B3" w14:textId="0021AB22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Archipiélago de Svalbard</w:t>
            </w:r>
          </w:p>
        </w:tc>
        <w:tc>
          <w:tcPr>
            <w:tcW w:w="2835" w:type="dxa"/>
          </w:tcPr>
          <w:p w14:paraId="44525E54" w14:textId="0F73BF66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Archipiélago de Svalbard</w:t>
            </w:r>
          </w:p>
        </w:tc>
      </w:tr>
      <w:tr w:rsidR="005207BD" w14:paraId="1360780B" w14:textId="77777777" w:rsidTr="002762F2">
        <w:tc>
          <w:tcPr>
            <w:tcW w:w="846" w:type="dxa"/>
          </w:tcPr>
          <w:p w14:paraId="504C0FC1" w14:textId="26AEF40C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3.</w:t>
            </w:r>
          </w:p>
        </w:tc>
        <w:tc>
          <w:tcPr>
            <w:tcW w:w="3260" w:type="dxa"/>
          </w:tcPr>
          <w:p w14:paraId="272308D8" w14:textId="20D528C9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Colectividad Territorial de San Pedro y Miguelón</w:t>
            </w:r>
          </w:p>
        </w:tc>
        <w:tc>
          <w:tcPr>
            <w:tcW w:w="2835" w:type="dxa"/>
          </w:tcPr>
          <w:p w14:paraId="11054CD0" w14:textId="66826D9D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Colectividad Territorial de San Pedro y Miguelón</w:t>
            </w:r>
          </w:p>
        </w:tc>
      </w:tr>
      <w:tr w:rsidR="005207BD" w14:paraId="7480EAC2" w14:textId="77777777" w:rsidTr="002762F2">
        <w:tc>
          <w:tcPr>
            <w:tcW w:w="846" w:type="dxa"/>
          </w:tcPr>
          <w:p w14:paraId="76EA057A" w14:textId="2C8A6044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4.</w:t>
            </w:r>
          </w:p>
        </w:tc>
        <w:tc>
          <w:tcPr>
            <w:tcW w:w="3260" w:type="dxa"/>
          </w:tcPr>
          <w:p w14:paraId="3C73B415" w14:textId="539BE1D9" w:rsidR="005207BD" w:rsidRPr="002762F2" w:rsidRDefault="005207BD" w:rsidP="005207BD">
            <w:pPr>
              <w:rPr>
                <w:i/>
                <w:iCs/>
                <w:color w:val="0070C0"/>
                <w:highlight w:val="yellow"/>
                <w:u w:val="single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  <w:highlight w:val="yellow"/>
                <w:u w:val="single"/>
              </w:rPr>
              <w:t>Estado de Brunei Darussalam</w:t>
            </w:r>
          </w:p>
        </w:tc>
        <w:tc>
          <w:tcPr>
            <w:tcW w:w="2835" w:type="dxa"/>
          </w:tcPr>
          <w:p w14:paraId="0AE0FE1A" w14:textId="4A3C1DEE" w:rsidR="005207BD" w:rsidRPr="002762F2" w:rsidRDefault="005207BD" w:rsidP="005207BD">
            <w:pPr>
              <w:rPr>
                <w:i/>
                <w:iCs/>
                <w:color w:val="0070C0"/>
              </w:rPr>
            </w:pPr>
          </w:p>
        </w:tc>
      </w:tr>
      <w:tr w:rsidR="005207BD" w14:paraId="20777640" w14:textId="77777777" w:rsidTr="002762F2">
        <w:tc>
          <w:tcPr>
            <w:tcW w:w="846" w:type="dxa"/>
          </w:tcPr>
          <w:p w14:paraId="10BB00FA" w14:textId="1E34372C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5.</w:t>
            </w:r>
          </w:p>
        </w:tc>
        <w:tc>
          <w:tcPr>
            <w:tcW w:w="3260" w:type="dxa"/>
          </w:tcPr>
          <w:p w14:paraId="0039B09D" w14:textId="543557B1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Estado de Kuwait</w:t>
            </w:r>
          </w:p>
        </w:tc>
        <w:tc>
          <w:tcPr>
            <w:tcW w:w="2835" w:type="dxa"/>
          </w:tcPr>
          <w:p w14:paraId="71212AE5" w14:textId="7CE6BA19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Estado de Kuwait</w:t>
            </w:r>
          </w:p>
        </w:tc>
      </w:tr>
      <w:tr w:rsidR="005207BD" w14:paraId="18F325B3" w14:textId="77777777" w:rsidTr="002762F2">
        <w:tc>
          <w:tcPr>
            <w:tcW w:w="846" w:type="dxa"/>
          </w:tcPr>
          <w:p w14:paraId="22002DAC" w14:textId="1D7210CC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6.</w:t>
            </w:r>
          </w:p>
        </w:tc>
        <w:tc>
          <w:tcPr>
            <w:tcW w:w="3260" w:type="dxa"/>
          </w:tcPr>
          <w:p w14:paraId="6A2C8BC3" w14:textId="3BFB2060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Estado de Qatar</w:t>
            </w:r>
          </w:p>
        </w:tc>
        <w:tc>
          <w:tcPr>
            <w:tcW w:w="2835" w:type="dxa"/>
          </w:tcPr>
          <w:p w14:paraId="7BE4F0B4" w14:textId="3A7E3F61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Estado de Qatar</w:t>
            </w:r>
          </w:p>
        </w:tc>
      </w:tr>
      <w:tr w:rsidR="005207BD" w14:paraId="7679EAEA" w14:textId="77777777" w:rsidTr="002762F2">
        <w:tc>
          <w:tcPr>
            <w:tcW w:w="846" w:type="dxa"/>
          </w:tcPr>
          <w:p w14:paraId="42FA04B1" w14:textId="2C15DA8B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7.</w:t>
            </w:r>
          </w:p>
        </w:tc>
        <w:tc>
          <w:tcPr>
            <w:tcW w:w="3260" w:type="dxa"/>
          </w:tcPr>
          <w:p w14:paraId="32C3CC0C" w14:textId="5D6DCDE7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Estado Independiente de Samoa Occidental</w:t>
            </w:r>
          </w:p>
        </w:tc>
        <w:tc>
          <w:tcPr>
            <w:tcW w:w="2835" w:type="dxa"/>
          </w:tcPr>
          <w:p w14:paraId="0C92CAC7" w14:textId="18522E1A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Estado Independiente de Samoa Occidental</w:t>
            </w:r>
          </w:p>
        </w:tc>
      </w:tr>
      <w:tr w:rsidR="005207BD" w14:paraId="3184D2F7" w14:textId="77777777" w:rsidTr="002762F2">
        <w:tc>
          <w:tcPr>
            <w:tcW w:w="846" w:type="dxa"/>
          </w:tcPr>
          <w:p w14:paraId="3E35FCCF" w14:textId="5880F4BA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8.</w:t>
            </w:r>
          </w:p>
        </w:tc>
        <w:tc>
          <w:tcPr>
            <w:tcW w:w="3260" w:type="dxa"/>
          </w:tcPr>
          <w:p w14:paraId="3945317E" w14:textId="66396D4B" w:rsidR="005207BD" w:rsidRPr="002762F2" w:rsidRDefault="005207BD" w:rsidP="005207BD">
            <w:pPr>
              <w:rPr>
                <w:b/>
                <w:bCs/>
                <w:i/>
                <w:iCs/>
                <w:color w:val="0070C0"/>
                <w:highlight w:val="yellow"/>
                <w:u w:val="single"/>
              </w:rPr>
            </w:pPr>
            <w:r w:rsidRPr="002762F2">
              <w:rPr>
                <w:rStyle w:val="letra8pt"/>
                <w:rFonts w:ascii="Roboto Condensed" w:hAnsi="Roboto Condensed"/>
                <w:b/>
                <w:bCs/>
                <w:i/>
                <w:iCs/>
                <w:color w:val="0070C0"/>
                <w:spacing w:val="2"/>
                <w:highlight w:val="yellow"/>
                <w:u w:val="single"/>
              </w:rPr>
              <w:t>Granada</w:t>
            </w:r>
          </w:p>
        </w:tc>
        <w:tc>
          <w:tcPr>
            <w:tcW w:w="2835" w:type="dxa"/>
          </w:tcPr>
          <w:p w14:paraId="383056F5" w14:textId="456AC983" w:rsidR="005207BD" w:rsidRPr="002762F2" w:rsidRDefault="005207BD" w:rsidP="005207BD">
            <w:pPr>
              <w:rPr>
                <w:i/>
                <w:iCs/>
                <w:color w:val="0070C0"/>
              </w:rPr>
            </w:pPr>
          </w:p>
        </w:tc>
      </w:tr>
      <w:tr w:rsidR="005207BD" w14:paraId="60CB40F8" w14:textId="77777777" w:rsidTr="002762F2">
        <w:tc>
          <w:tcPr>
            <w:tcW w:w="846" w:type="dxa"/>
          </w:tcPr>
          <w:p w14:paraId="4F9E1F07" w14:textId="4422BB66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9.</w:t>
            </w:r>
          </w:p>
        </w:tc>
        <w:tc>
          <w:tcPr>
            <w:tcW w:w="3260" w:type="dxa"/>
          </w:tcPr>
          <w:p w14:paraId="4749BC92" w14:textId="037C1A24" w:rsidR="005207BD" w:rsidRPr="002762F2" w:rsidRDefault="005207BD" w:rsidP="005207BD">
            <w:pPr>
              <w:rPr>
                <w:b/>
                <w:bCs/>
                <w:i/>
                <w:iCs/>
                <w:color w:val="0070C0"/>
                <w:highlight w:val="yellow"/>
                <w:u w:val="single"/>
              </w:rPr>
            </w:pPr>
            <w:r w:rsidRPr="002762F2">
              <w:rPr>
                <w:rStyle w:val="letra8pt"/>
                <w:rFonts w:ascii="Roboto Condensed" w:hAnsi="Roboto Condensed"/>
                <w:b/>
                <w:bCs/>
                <w:i/>
                <w:iCs/>
                <w:color w:val="0070C0"/>
                <w:spacing w:val="2"/>
                <w:highlight w:val="yellow"/>
                <w:u w:val="single"/>
              </w:rPr>
              <w:t>Hong Kong</w:t>
            </w:r>
          </w:p>
        </w:tc>
        <w:tc>
          <w:tcPr>
            <w:tcW w:w="2835" w:type="dxa"/>
          </w:tcPr>
          <w:p w14:paraId="00192C75" w14:textId="2CC16F1F" w:rsidR="005207BD" w:rsidRPr="002762F2" w:rsidRDefault="005207BD" w:rsidP="005207BD">
            <w:pPr>
              <w:rPr>
                <w:i/>
                <w:iCs/>
                <w:color w:val="0070C0"/>
              </w:rPr>
            </w:pPr>
          </w:p>
        </w:tc>
      </w:tr>
      <w:tr w:rsidR="005207BD" w14:paraId="73932C5F" w14:textId="77777777" w:rsidTr="002762F2">
        <w:tc>
          <w:tcPr>
            <w:tcW w:w="846" w:type="dxa"/>
          </w:tcPr>
          <w:p w14:paraId="70885A56" w14:textId="4B0381A3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10.</w:t>
            </w:r>
          </w:p>
        </w:tc>
        <w:tc>
          <w:tcPr>
            <w:tcW w:w="3260" w:type="dxa"/>
          </w:tcPr>
          <w:p w14:paraId="48839528" w14:textId="60912AA5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Isla Queshm</w:t>
            </w:r>
          </w:p>
        </w:tc>
        <w:tc>
          <w:tcPr>
            <w:tcW w:w="2835" w:type="dxa"/>
          </w:tcPr>
          <w:p w14:paraId="39FE8077" w14:textId="299FF91B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Isla Queshm</w:t>
            </w:r>
          </w:p>
        </w:tc>
      </w:tr>
      <w:tr w:rsidR="005207BD" w14:paraId="41EDEFBA" w14:textId="77777777" w:rsidTr="002762F2">
        <w:tc>
          <w:tcPr>
            <w:tcW w:w="846" w:type="dxa"/>
          </w:tcPr>
          <w:p w14:paraId="701A1BDD" w14:textId="3C1DF361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lastRenderedPageBreak/>
              <w:t>11.</w:t>
            </w:r>
          </w:p>
        </w:tc>
        <w:tc>
          <w:tcPr>
            <w:tcW w:w="3260" w:type="dxa"/>
          </w:tcPr>
          <w:p w14:paraId="7A94175B" w14:textId="640E983E" w:rsidR="005207BD" w:rsidRPr="002762F2" w:rsidRDefault="005207BD" w:rsidP="005207BD">
            <w:pPr>
              <w:rPr>
                <w:b/>
                <w:bCs/>
                <w:i/>
                <w:iCs/>
                <w:color w:val="0070C0"/>
                <w:u w:val="single"/>
              </w:rPr>
            </w:pPr>
            <w:r w:rsidRPr="002762F2">
              <w:rPr>
                <w:rStyle w:val="letra8pt"/>
                <w:rFonts w:ascii="Roboto Condensed" w:hAnsi="Roboto Condensed"/>
                <w:b/>
                <w:bCs/>
                <w:i/>
                <w:iCs/>
                <w:color w:val="0070C0"/>
                <w:spacing w:val="2"/>
                <w:highlight w:val="yellow"/>
                <w:u w:val="single"/>
              </w:rPr>
              <w:t>Islas Cook</w:t>
            </w:r>
          </w:p>
        </w:tc>
        <w:tc>
          <w:tcPr>
            <w:tcW w:w="2835" w:type="dxa"/>
          </w:tcPr>
          <w:p w14:paraId="34ABE7F2" w14:textId="13D0CB83" w:rsidR="005207BD" w:rsidRPr="002762F2" w:rsidRDefault="005207BD" w:rsidP="005207BD">
            <w:pPr>
              <w:rPr>
                <w:i/>
                <w:iCs/>
                <w:color w:val="0070C0"/>
              </w:rPr>
            </w:pPr>
          </w:p>
        </w:tc>
      </w:tr>
      <w:tr w:rsidR="005207BD" w14:paraId="0C2C8BA6" w14:textId="77777777" w:rsidTr="002762F2">
        <w:tc>
          <w:tcPr>
            <w:tcW w:w="846" w:type="dxa"/>
          </w:tcPr>
          <w:p w14:paraId="601290FA" w14:textId="1EF371B8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12.</w:t>
            </w:r>
          </w:p>
        </w:tc>
        <w:tc>
          <w:tcPr>
            <w:tcW w:w="3260" w:type="dxa"/>
          </w:tcPr>
          <w:p w14:paraId="22C172E7" w14:textId="7C5E6899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Islas Pitcairn, Henderson, Ducie y Oeno</w:t>
            </w:r>
          </w:p>
        </w:tc>
        <w:tc>
          <w:tcPr>
            <w:tcW w:w="2835" w:type="dxa"/>
          </w:tcPr>
          <w:p w14:paraId="4350C1ED" w14:textId="02C1EEF7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Islas Pitcairn, Henderson, Ducie y Oeno</w:t>
            </w:r>
          </w:p>
        </w:tc>
      </w:tr>
      <w:tr w:rsidR="005207BD" w14:paraId="4660FF81" w14:textId="77777777" w:rsidTr="002762F2">
        <w:tc>
          <w:tcPr>
            <w:tcW w:w="846" w:type="dxa"/>
          </w:tcPr>
          <w:p w14:paraId="23F61E06" w14:textId="4CDF9DBB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13.</w:t>
            </w:r>
          </w:p>
        </w:tc>
        <w:tc>
          <w:tcPr>
            <w:tcW w:w="3260" w:type="dxa"/>
          </w:tcPr>
          <w:p w14:paraId="2B253A71" w14:textId="39B2FB35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Islas Salomón</w:t>
            </w:r>
          </w:p>
        </w:tc>
        <w:tc>
          <w:tcPr>
            <w:tcW w:w="2835" w:type="dxa"/>
          </w:tcPr>
          <w:p w14:paraId="33EA80EE" w14:textId="64F92AF5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Islas Salomón</w:t>
            </w:r>
          </w:p>
        </w:tc>
      </w:tr>
      <w:tr w:rsidR="005207BD" w14:paraId="55D16C20" w14:textId="77777777" w:rsidTr="002762F2">
        <w:tc>
          <w:tcPr>
            <w:tcW w:w="846" w:type="dxa"/>
          </w:tcPr>
          <w:p w14:paraId="1236D7ED" w14:textId="225BE5CA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14.</w:t>
            </w:r>
          </w:p>
        </w:tc>
        <w:tc>
          <w:tcPr>
            <w:tcW w:w="3260" w:type="dxa"/>
          </w:tcPr>
          <w:p w14:paraId="00504A70" w14:textId="3A8B3F70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Labuán</w:t>
            </w:r>
          </w:p>
        </w:tc>
        <w:tc>
          <w:tcPr>
            <w:tcW w:w="2835" w:type="dxa"/>
          </w:tcPr>
          <w:p w14:paraId="5D064D54" w14:textId="45F1DFCF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Labuán</w:t>
            </w:r>
          </w:p>
        </w:tc>
      </w:tr>
      <w:tr w:rsidR="005207BD" w14:paraId="319BF9E2" w14:textId="77777777" w:rsidTr="002762F2">
        <w:tc>
          <w:tcPr>
            <w:tcW w:w="846" w:type="dxa"/>
          </w:tcPr>
          <w:p w14:paraId="5E2DF4F2" w14:textId="0B0D895A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15.</w:t>
            </w:r>
          </w:p>
        </w:tc>
        <w:tc>
          <w:tcPr>
            <w:tcW w:w="3260" w:type="dxa"/>
          </w:tcPr>
          <w:p w14:paraId="11F6F643" w14:textId="215AF71F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Macao</w:t>
            </w:r>
          </w:p>
        </w:tc>
        <w:tc>
          <w:tcPr>
            <w:tcW w:w="2835" w:type="dxa"/>
          </w:tcPr>
          <w:p w14:paraId="241AC248" w14:textId="6B23DAC5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Macao</w:t>
            </w:r>
          </w:p>
        </w:tc>
      </w:tr>
      <w:tr w:rsidR="005207BD" w14:paraId="3D2707D9" w14:textId="77777777" w:rsidTr="002762F2">
        <w:tc>
          <w:tcPr>
            <w:tcW w:w="846" w:type="dxa"/>
          </w:tcPr>
          <w:p w14:paraId="47CE0FA5" w14:textId="39C7274B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16.</w:t>
            </w:r>
          </w:p>
        </w:tc>
        <w:tc>
          <w:tcPr>
            <w:tcW w:w="3260" w:type="dxa"/>
          </w:tcPr>
          <w:p w14:paraId="4A107D76" w14:textId="283B4994" w:rsidR="005207BD" w:rsidRPr="002762F2" w:rsidRDefault="005207BD" w:rsidP="005207BD">
            <w:pPr>
              <w:rPr>
                <w:b/>
                <w:bCs/>
                <w:i/>
                <w:iCs/>
                <w:color w:val="0070C0"/>
                <w:u w:val="single"/>
              </w:rPr>
            </w:pPr>
            <w:r w:rsidRPr="002762F2">
              <w:rPr>
                <w:rStyle w:val="letra8pt"/>
                <w:rFonts w:ascii="Roboto Condensed" w:hAnsi="Roboto Condensed"/>
                <w:b/>
                <w:bCs/>
                <w:i/>
                <w:iCs/>
                <w:color w:val="0070C0"/>
                <w:spacing w:val="2"/>
                <w:highlight w:val="yellow"/>
                <w:u w:val="single"/>
              </w:rPr>
              <w:t>Mancomunidad de Dominica</w:t>
            </w:r>
          </w:p>
        </w:tc>
        <w:tc>
          <w:tcPr>
            <w:tcW w:w="2835" w:type="dxa"/>
          </w:tcPr>
          <w:p w14:paraId="473AFDCA" w14:textId="4C1C0C7F" w:rsidR="005207BD" w:rsidRPr="002762F2" w:rsidRDefault="005207BD" w:rsidP="005207BD">
            <w:pPr>
              <w:rPr>
                <w:i/>
                <w:iCs/>
                <w:color w:val="0070C0"/>
              </w:rPr>
            </w:pPr>
          </w:p>
        </w:tc>
      </w:tr>
      <w:tr w:rsidR="005207BD" w14:paraId="68DA5BB3" w14:textId="77777777" w:rsidTr="002762F2">
        <w:tc>
          <w:tcPr>
            <w:tcW w:w="846" w:type="dxa"/>
          </w:tcPr>
          <w:p w14:paraId="1D64E507" w14:textId="05828ABC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17.</w:t>
            </w:r>
          </w:p>
        </w:tc>
        <w:tc>
          <w:tcPr>
            <w:tcW w:w="3260" w:type="dxa"/>
          </w:tcPr>
          <w:p w14:paraId="13BBBDA7" w14:textId="7C110B36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Mancomunidad de las Bahamas</w:t>
            </w:r>
          </w:p>
        </w:tc>
        <w:tc>
          <w:tcPr>
            <w:tcW w:w="2835" w:type="dxa"/>
          </w:tcPr>
          <w:p w14:paraId="42B3052D" w14:textId="01AA4969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Mancomunidad de las Bahamas</w:t>
            </w:r>
          </w:p>
        </w:tc>
      </w:tr>
      <w:tr w:rsidR="005207BD" w14:paraId="2586650B" w14:textId="77777777" w:rsidTr="002762F2">
        <w:tc>
          <w:tcPr>
            <w:tcW w:w="846" w:type="dxa"/>
          </w:tcPr>
          <w:p w14:paraId="1BFCBF64" w14:textId="34E80A4F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18.</w:t>
            </w:r>
          </w:p>
        </w:tc>
        <w:tc>
          <w:tcPr>
            <w:tcW w:w="3260" w:type="dxa"/>
          </w:tcPr>
          <w:p w14:paraId="2F4D3D5A" w14:textId="44E03D8F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Reino de Bahrein</w:t>
            </w:r>
          </w:p>
        </w:tc>
        <w:tc>
          <w:tcPr>
            <w:tcW w:w="2835" w:type="dxa"/>
          </w:tcPr>
          <w:p w14:paraId="4A471F3E" w14:textId="7CCEF1FF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Reino de Bahrein</w:t>
            </w:r>
          </w:p>
        </w:tc>
      </w:tr>
      <w:tr w:rsidR="005207BD" w14:paraId="39F73222" w14:textId="77777777" w:rsidTr="002762F2">
        <w:tc>
          <w:tcPr>
            <w:tcW w:w="846" w:type="dxa"/>
          </w:tcPr>
          <w:p w14:paraId="2FDF1078" w14:textId="69A66E04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19.</w:t>
            </w:r>
          </w:p>
        </w:tc>
        <w:tc>
          <w:tcPr>
            <w:tcW w:w="3260" w:type="dxa"/>
          </w:tcPr>
          <w:p w14:paraId="099D3703" w14:textId="30D76BD7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Reino Hachemí de Jordania</w:t>
            </w:r>
          </w:p>
        </w:tc>
        <w:tc>
          <w:tcPr>
            <w:tcW w:w="2835" w:type="dxa"/>
          </w:tcPr>
          <w:p w14:paraId="1B878B49" w14:textId="2A26ADF6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Reino Hachemí de Jordania</w:t>
            </w:r>
          </w:p>
        </w:tc>
      </w:tr>
      <w:tr w:rsidR="005207BD" w14:paraId="71BC6B89" w14:textId="77777777" w:rsidTr="002762F2">
        <w:tc>
          <w:tcPr>
            <w:tcW w:w="846" w:type="dxa"/>
          </w:tcPr>
          <w:p w14:paraId="5B4B082F" w14:textId="5350EF85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20.</w:t>
            </w:r>
          </w:p>
        </w:tc>
        <w:tc>
          <w:tcPr>
            <w:tcW w:w="3260" w:type="dxa"/>
          </w:tcPr>
          <w:p w14:paraId="0C55E9CC" w14:textId="6301A80B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Cooperativa de Guyana</w:t>
            </w:r>
          </w:p>
        </w:tc>
        <w:tc>
          <w:tcPr>
            <w:tcW w:w="2835" w:type="dxa"/>
          </w:tcPr>
          <w:p w14:paraId="6885D800" w14:textId="28EC9202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Cooperativa de Guyana</w:t>
            </w:r>
          </w:p>
        </w:tc>
      </w:tr>
      <w:tr w:rsidR="005207BD" w14:paraId="22422239" w14:textId="77777777" w:rsidTr="002762F2">
        <w:tc>
          <w:tcPr>
            <w:tcW w:w="846" w:type="dxa"/>
          </w:tcPr>
          <w:p w14:paraId="64766A6B" w14:textId="519888F5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21.</w:t>
            </w:r>
          </w:p>
        </w:tc>
        <w:tc>
          <w:tcPr>
            <w:tcW w:w="3260" w:type="dxa"/>
          </w:tcPr>
          <w:p w14:paraId="584A9CE8" w14:textId="63CB0C79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Angola</w:t>
            </w:r>
          </w:p>
        </w:tc>
        <w:tc>
          <w:tcPr>
            <w:tcW w:w="2835" w:type="dxa"/>
          </w:tcPr>
          <w:p w14:paraId="2DDD6A42" w14:textId="16AA0FD3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Angola</w:t>
            </w:r>
          </w:p>
        </w:tc>
      </w:tr>
      <w:tr w:rsidR="005207BD" w14:paraId="22B596A6" w14:textId="77777777" w:rsidTr="002762F2">
        <w:tc>
          <w:tcPr>
            <w:tcW w:w="846" w:type="dxa"/>
          </w:tcPr>
          <w:p w14:paraId="008B3094" w14:textId="75AEED04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22.</w:t>
            </w:r>
          </w:p>
        </w:tc>
        <w:tc>
          <w:tcPr>
            <w:tcW w:w="3260" w:type="dxa"/>
          </w:tcPr>
          <w:p w14:paraId="7EA37E89" w14:textId="52C7A997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Cabo Verde</w:t>
            </w:r>
          </w:p>
        </w:tc>
        <w:tc>
          <w:tcPr>
            <w:tcW w:w="2835" w:type="dxa"/>
          </w:tcPr>
          <w:p w14:paraId="76D34972" w14:textId="152DD4DE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Cabo Verde</w:t>
            </w:r>
          </w:p>
        </w:tc>
      </w:tr>
      <w:tr w:rsidR="005207BD" w14:paraId="644DC91A" w14:textId="77777777" w:rsidTr="002762F2">
        <w:tc>
          <w:tcPr>
            <w:tcW w:w="846" w:type="dxa"/>
          </w:tcPr>
          <w:p w14:paraId="2B612377" w14:textId="50C1D85A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23.</w:t>
            </w:r>
          </w:p>
        </w:tc>
        <w:tc>
          <w:tcPr>
            <w:tcW w:w="3260" w:type="dxa"/>
          </w:tcPr>
          <w:p w14:paraId="129AB48E" w14:textId="3795CE03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las Islas Marshall</w:t>
            </w:r>
          </w:p>
        </w:tc>
        <w:tc>
          <w:tcPr>
            <w:tcW w:w="2835" w:type="dxa"/>
          </w:tcPr>
          <w:p w14:paraId="489A58CF" w14:textId="1A4BF981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las Islas Marshall</w:t>
            </w:r>
          </w:p>
        </w:tc>
      </w:tr>
      <w:tr w:rsidR="005207BD" w14:paraId="6B7DF914" w14:textId="77777777" w:rsidTr="002762F2">
        <w:tc>
          <w:tcPr>
            <w:tcW w:w="846" w:type="dxa"/>
          </w:tcPr>
          <w:p w14:paraId="1728C45D" w14:textId="090D105A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24.</w:t>
            </w:r>
          </w:p>
        </w:tc>
        <w:tc>
          <w:tcPr>
            <w:tcW w:w="3260" w:type="dxa"/>
          </w:tcPr>
          <w:p w14:paraId="214F4B9D" w14:textId="5538F634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Liberia</w:t>
            </w:r>
          </w:p>
        </w:tc>
        <w:tc>
          <w:tcPr>
            <w:tcW w:w="2835" w:type="dxa"/>
          </w:tcPr>
          <w:p w14:paraId="1201D611" w14:textId="6FAF8DD2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Liberia</w:t>
            </w:r>
          </w:p>
        </w:tc>
      </w:tr>
      <w:tr w:rsidR="005207BD" w14:paraId="79466B5C" w14:textId="77777777" w:rsidTr="002762F2">
        <w:tc>
          <w:tcPr>
            <w:tcW w:w="846" w:type="dxa"/>
          </w:tcPr>
          <w:p w14:paraId="5AC9693A" w14:textId="054A1ADC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25.</w:t>
            </w:r>
          </w:p>
        </w:tc>
        <w:tc>
          <w:tcPr>
            <w:tcW w:w="3260" w:type="dxa"/>
          </w:tcPr>
          <w:p w14:paraId="022C9E3C" w14:textId="06F527F7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Maldivas</w:t>
            </w:r>
          </w:p>
        </w:tc>
        <w:tc>
          <w:tcPr>
            <w:tcW w:w="2835" w:type="dxa"/>
          </w:tcPr>
          <w:p w14:paraId="7BD6C4BC" w14:textId="3CE0A7D3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Maldivas</w:t>
            </w:r>
          </w:p>
        </w:tc>
      </w:tr>
      <w:tr w:rsidR="005207BD" w14:paraId="17AD6B60" w14:textId="77777777" w:rsidTr="002762F2">
        <w:tc>
          <w:tcPr>
            <w:tcW w:w="846" w:type="dxa"/>
          </w:tcPr>
          <w:p w14:paraId="1D91AD6C" w14:textId="060AF17F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26.</w:t>
            </w:r>
          </w:p>
        </w:tc>
        <w:tc>
          <w:tcPr>
            <w:tcW w:w="3260" w:type="dxa"/>
          </w:tcPr>
          <w:p w14:paraId="325FA4EF" w14:textId="6CDF428A" w:rsidR="005207BD" w:rsidRPr="002762F2" w:rsidRDefault="005207BD" w:rsidP="005207BD">
            <w:pPr>
              <w:rPr>
                <w:b/>
                <w:bCs/>
                <w:i/>
                <w:iCs/>
                <w:color w:val="0070C0"/>
                <w:u w:val="single"/>
              </w:rPr>
            </w:pPr>
            <w:r w:rsidRPr="002762F2">
              <w:rPr>
                <w:rStyle w:val="letra8pt"/>
                <w:rFonts w:ascii="Roboto Condensed" w:hAnsi="Roboto Condensed"/>
                <w:b/>
                <w:bCs/>
                <w:i/>
                <w:iCs/>
                <w:color w:val="0070C0"/>
                <w:spacing w:val="2"/>
                <w:highlight w:val="yellow"/>
                <w:u w:val="single"/>
              </w:rPr>
              <w:t>República de Mauricio</w:t>
            </w:r>
          </w:p>
        </w:tc>
        <w:tc>
          <w:tcPr>
            <w:tcW w:w="2835" w:type="dxa"/>
          </w:tcPr>
          <w:p w14:paraId="78B6CB97" w14:textId="6B184EE8" w:rsidR="005207BD" w:rsidRPr="002762F2" w:rsidRDefault="005207BD" w:rsidP="005207BD">
            <w:pPr>
              <w:rPr>
                <w:i/>
                <w:iCs/>
                <w:color w:val="0070C0"/>
              </w:rPr>
            </w:pPr>
          </w:p>
        </w:tc>
      </w:tr>
      <w:tr w:rsidR="005207BD" w14:paraId="11FC2284" w14:textId="77777777" w:rsidTr="002762F2">
        <w:tc>
          <w:tcPr>
            <w:tcW w:w="846" w:type="dxa"/>
          </w:tcPr>
          <w:p w14:paraId="72FCFD97" w14:textId="4C08AB2F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27.</w:t>
            </w:r>
          </w:p>
        </w:tc>
        <w:tc>
          <w:tcPr>
            <w:tcW w:w="3260" w:type="dxa"/>
          </w:tcPr>
          <w:p w14:paraId="3628325F" w14:textId="039BF814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Nauru</w:t>
            </w:r>
          </w:p>
        </w:tc>
        <w:tc>
          <w:tcPr>
            <w:tcW w:w="2835" w:type="dxa"/>
          </w:tcPr>
          <w:p w14:paraId="6E998124" w14:textId="56D092E8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Nauru</w:t>
            </w:r>
          </w:p>
        </w:tc>
      </w:tr>
      <w:tr w:rsidR="005207BD" w14:paraId="3D1C5AED" w14:textId="77777777" w:rsidTr="002762F2">
        <w:tc>
          <w:tcPr>
            <w:tcW w:w="846" w:type="dxa"/>
          </w:tcPr>
          <w:p w14:paraId="10C4CCBE" w14:textId="1188CE1E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28.</w:t>
            </w:r>
          </w:p>
        </w:tc>
        <w:tc>
          <w:tcPr>
            <w:tcW w:w="3260" w:type="dxa"/>
          </w:tcPr>
          <w:p w14:paraId="768C9272" w14:textId="485806E0" w:rsidR="005207BD" w:rsidRPr="002762F2" w:rsidRDefault="005207BD" w:rsidP="005207BD">
            <w:pPr>
              <w:rPr>
                <w:b/>
                <w:bCs/>
                <w:i/>
                <w:iCs/>
                <w:color w:val="0070C0"/>
                <w:u w:val="single"/>
              </w:rPr>
            </w:pPr>
            <w:r w:rsidRPr="002762F2">
              <w:rPr>
                <w:rStyle w:val="letra8pt"/>
                <w:rFonts w:ascii="Roboto Condensed" w:hAnsi="Roboto Condensed"/>
                <w:b/>
                <w:bCs/>
                <w:i/>
                <w:iCs/>
                <w:color w:val="0070C0"/>
                <w:spacing w:val="2"/>
                <w:highlight w:val="yellow"/>
                <w:u w:val="single"/>
              </w:rPr>
              <w:t>República de Seychelles</w:t>
            </w:r>
          </w:p>
        </w:tc>
        <w:tc>
          <w:tcPr>
            <w:tcW w:w="2835" w:type="dxa"/>
          </w:tcPr>
          <w:p w14:paraId="68EF3DA2" w14:textId="1E981444" w:rsidR="005207BD" w:rsidRPr="002762F2" w:rsidRDefault="005207BD" w:rsidP="005207BD">
            <w:pPr>
              <w:rPr>
                <w:i/>
                <w:iCs/>
                <w:color w:val="0070C0"/>
              </w:rPr>
            </w:pPr>
          </w:p>
        </w:tc>
      </w:tr>
      <w:tr w:rsidR="005207BD" w14:paraId="20C002B2" w14:textId="77777777" w:rsidTr="002762F2">
        <w:tc>
          <w:tcPr>
            <w:tcW w:w="846" w:type="dxa"/>
          </w:tcPr>
          <w:p w14:paraId="03D8FF3B" w14:textId="740C9F21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29.</w:t>
            </w:r>
          </w:p>
        </w:tc>
        <w:tc>
          <w:tcPr>
            <w:tcW w:w="3260" w:type="dxa"/>
          </w:tcPr>
          <w:p w14:paraId="361C64C9" w14:textId="2341BA70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Trinidad y Tobago</w:t>
            </w:r>
          </w:p>
        </w:tc>
        <w:tc>
          <w:tcPr>
            <w:tcW w:w="2835" w:type="dxa"/>
          </w:tcPr>
          <w:p w14:paraId="36C438B3" w14:textId="22E261F7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Trinidad y Tobago</w:t>
            </w:r>
          </w:p>
        </w:tc>
      </w:tr>
      <w:tr w:rsidR="005207BD" w14:paraId="090FAE10" w14:textId="77777777" w:rsidTr="002762F2">
        <w:tc>
          <w:tcPr>
            <w:tcW w:w="846" w:type="dxa"/>
          </w:tcPr>
          <w:p w14:paraId="01342E13" w14:textId="2B9A217F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30.</w:t>
            </w:r>
          </w:p>
        </w:tc>
        <w:tc>
          <w:tcPr>
            <w:tcW w:w="3260" w:type="dxa"/>
          </w:tcPr>
          <w:p w14:paraId="6A1FB56D" w14:textId="5303D190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Vanuatu</w:t>
            </w:r>
          </w:p>
        </w:tc>
        <w:tc>
          <w:tcPr>
            <w:tcW w:w="2835" w:type="dxa"/>
          </w:tcPr>
          <w:p w14:paraId="49D84659" w14:textId="61D517B8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 Vanuatu</w:t>
            </w:r>
          </w:p>
        </w:tc>
      </w:tr>
      <w:tr w:rsidR="005207BD" w14:paraId="489966B8" w14:textId="77777777" w:rsidTr="002762F2">
        <w:tc>
          <w:tcPr>
            <w:tcW w:w="846" w:type="dxa"/>
          </w:tcPr>
          <w:p w14:paraId="39953FB4" w14:textId="548B65A4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31.</w:t>
            </w:r>
          </w:p>
        </w:tc>
        <w:tc>
          <w:tcPr>
            <w:tcW w:w="3260" w:type="dxa"/>
          </w:tcPr>
          <w:p w14:paraId="1373A51E" w14:textId="02C726BD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del Yemen</w:t>
            </w:r>
          </w:p>
        </w:tc>
        <w:tc>
          <w:tcPr>
            <w:tcW w:w="2835" w:type="dxa"/>
          </w:tcPr>
          <w:p w14:paraId="2DB9B675" w14:textId="46FBE9A0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República del Yemen</w:t>
            </w:r>
          </w:p>
        </w:tc>
      </w:tr>
      <w:tr w:rsidR="005207BD" w14:paraId="2E0657F9" w14:textId="77777777" w:rsidTr="002762F2">
        <w:tc>
          <w:tcPr>
            <w:tcW w:w="846" w:type="dxa"/>
          </w:tcPr>
          <w:p w14:paraId="40066DDF" w14:textId="2D25D230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32.</w:t>
            </w:r>
          </w:p>
        </w:tc>
        <w:tc>
          <w:tcPr>
            <w:tcW w:w="3260" w:type="dxa"/>
          </w:tcPr>
          <w:p w14:paraId="3FAEA82F" w14:textId="1EFD57C1" w:rsidR="005207BD" w:rsidRPr="002762F2" w:rsidRDefault="005207BD" w:rsidP="005207BD">
            <w:pPr>
              <w:rPr>
                <w:b/>
                <w:bCs/>
                <w:i/>
                <w:iCs/>
                <w:color w:val="0070C0"/>
                <w:u w:val="single"/>
              </w:rPr>
            </w:pPr>
            <w:r w:rsidRPr="002762F2">
              <w:rPr>
                <w:rStyle w:val="letra8pt"/>
                <w:rFonts w:ascii="Roboto Condensed" w:hAnsi="Roboto Condensed"/>
                <w:b/>
                <w:bCs/>
                <w:i/>
                <w:iCs/>
                <w:color w:val="0070C0"/>
                <w:spacing w:val="2"/>
                <w:highlight w:val="yellow"/>
                <w:u w:val="single"/>
              </w:rPr>
              <w:t>República Libanesa</w:t>
            </w:r>
          </w:p>
        </w:tc>
        <w:tc>
          <w:tcPr>
            <w:tcW w:w="2835" w:type="dxa"/>
          </w:tcPr>
          <w:p w14:paraId="51B1D35C" w14:textId="4B4E4374" w:rsidR="005207BD" w:rsidRPr="002762F2" w:rsidRDefault="005207BD" w:rsidP="005207BD">
            <w:pPr>
              <w:rPr>
                <w:i/>
                <w:iCs/>
                <w:color w:val="0070C0"/>
              </w:rPr>
            </w:pPr>
          </w:p>
        </w:tc>
      </w:tr>
      <w:tr w:rsidR="005207BD" w14:paraId="5B175C03" w14:textId="77777777" w:rsidTr="002762F2">
        <w:tc>
          <w:tcPr>
            <w:tcW w:w="846" w:type="dxa"/>
          </w:tcPr>
          <w:p w14:paraId="4469C658" w14:textId="781C4932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33.</w:t>
            </w:r>
          </w:p>
        </w:tc>
        <w:tc>
          <w:tcPr>
            <w:tcW w:w="3260" w:type="dxa"/>
          </w:tcPr>
          <w:p w14:paraId="308B11C0" w14:textId="70310B4E" w:rsidR="005207BD" w:rsidRPr="002762F2" w:rsidRDefault="005207BD" w:rsidP="005207BD">
            <w:pPr>
              <w:rPr>
                <w:b/>
                <w:bCs/>
                <w:i/>
                <w:iCs/>
                <w:color w:val="0070C0"/>
                <w:highlight w:val="yellow"/>
                <w:u w:val="single"/>
              </w:rPr>
            </w:pPr>
            <w:r w:rsidRPr="002762F2">
              <w:rPr>
                <w:rStyle w:val="letra8pt"/>
                <w:rFonts w:ascii="Roboto Condensed" w:hAnsi="Roboto Condensed"/>
                <w:b/>
                <w:bCs/>
                <w:i/>
                <w:iCs/>
                <w:color w:val="0070C0"/>
                <w:spacing w:val="2"/>
                <w:highlight w:val="yellow"/>
                <w:u w:val="single"/>
              </w:rPr>
              <w:t>San Kitts &amp; Nevis</w:t>
            </w:r>
          </w:p>
        </w:tc>
        <w:tc>
          <w:tcPr>
            <w:tcW w:w="2835" w:type="dxa"/>
          </w:tcPr>
          <w:p w14:paraId="28EB0479" w14:textId="147E8F50" w:rsidR="005207BD" w:rsidRPr="002762F2" w:rsidRDefault="005207BD" w:rsidP="005207BD">
            <w:pPr>
              <w:rPr>
                <w:i/>
                <w:iCs/>
                <w:color w:val="0070C0"/>
              </w:rPr>
            </w:pPr>
          </w:p>
        </w:tc>
      </w:tr>
      <w:tr w:rsidR="005207BD" w14:paraId="3B6B150E" w14:textId="77777777" w:rsidTr="002762F2">
        <w:tc>
          <w:tcPr>
            <w:tcW w:w="846" w:type="dxa"/>
          </w:tcPr>
          <w:p w14:paraId="2A31D8ED" w14:textId="248BB130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34.</w:t>
            </w:r>
          </w:p>
        </w:tc>
        <w:tc>
          <w:tcPr>
            <w:tcW w:w="3260" w:type="dxa"/>
          </w:tcPr>
          <w:p w14:paraId="1A440073" w14:textId="1E195009" w:rsidR="005207BD" w:rsidRPr="002762F2" w:rsidRDefault="005207BD" w:rsidP="005207BD">
            <w:pPr>
              <w:rPr>
                <w:b/>
                <w:bCs/>
                <w:i/>
                <w:iCs/>
                <w:color w:val="0070C0"/>
                <w:highlight w:val="yellow"/>
                <w:u w:val="single"/>
              </w:rPr>
            </w:pPr>
            <w:r w:rsidRPr="002762F2">
              <w:rPr>
                <w:rStyle w:val="letra8pt"/>
                <w:rFonts w:ascii="Roboto Condensed" w:hAnsi="Roboto Condensed"/>
                <w:b/>
                <w:bCs/>
                <w:i/>
                <w:iCs/>
                <w:color w:val="0070C0"/>
                <w:spacing w:val="2"/>
                <w:highlight w:val="yellow"/>
                <w:u w:val="single"/>
              </w:rPr>
              <w:t>San Vicente y las Granadinas</w:t>
            </w:r>
          </w:p>
        </w:tc>
        <w:tc>
          <w:tcPr>
            <w:tcW w:w="2835" w:type="dxa"/>
          </w:tcPr>
          <w:p w14:paraId="555BBCE9" w14:textId="564C9F31" w:rsidR="005207BD" w:rsidRPr="002762F2" w:rsidRDefault="005207BD" w:rsidP="005207BD">
            <w:pPr>
              <w:rPr>
                <w:i/>
                <w:iCs/>
                <w:color w:val="0070C0"/>
              </w:rPr>
            </w:pPr>
          </w:p>
        </w:tc>
      </w:tr>
      <w:tr w:rsidR="005207BD" w14:paraId="53888A64" w14:textId="77777777" w:rsidTr="002762F2">
        <w:tc>
          <w:tcPr>
            <w:tcW w:w="846" w:type="dxa"/>
          </w:tcPr>
          <w:p w14:paraId="16138ED5" w14:textId="4C203BB1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35.</w:t>
            </w:r>
          </w:p>
        </w:tc>
        <w:tc>
          <w:tcPr>
            <w:tcW w:w="3260" w:type="dxa"/>
          </w:tcPr>
          <w:p w14:paraId="3C6F4448" w14:textId="0B9EC7A7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Santa Elena, Ascensión y Tristan de Cunha</w:t>
            </w:r>
          </w:p>
        </w:tc>
        <w:tc>
          <w:tcPr>
            <w:tcW w:w="2835" w:type="dxa"/>
          </w:tcPr>
          <w:p w14:paraId="075B4591" w14:textId="5136D7CC" w:rsidR="005207BD" w:rsidRPr="002762F2" w:rsidRDefault="005207BD" w:rsidP="005207BD">
            <w:pPr>
              <w:rPr>
                <w:i/>
                <w:iCs/>
                <w:color w:val="0070C0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Santa Elena, Ascensión y Tristan de Cunha</w:t>
            </w:r>
          </w:p>
        </w:tc>
      </w:tr>
      <w:tr w:rsidR="005207BD" w14:paraId="66058E4A" w14:textId="77777777" w:rsidTr="002762F2">
        <w:tc>
          <w:tcPr>
            <w:tcW w:w="846" w:type="dxa"/>
          </w:tcPr>
          <w:p w14:paraId="42B97B45" w14:textId="03C5F96A" w:rsidR="005207BD" w:rsidRPr="002762F2" w:rsidRDefault="005207BD" w:rsidP="005207BD">
            <w:pPr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36.</w:t>
            </w:r>
          </w:p>
        </w:tc>
        <w:tc>
          <w:tcPr>
            <w:tcW w:w="3260" w:type="dxa"/>
          </w:tcPr>
          <w:p w14:paraId="60BAD364" w14:textId="77E3E143" w:rsidR="005207BD" w:rsidRPr="002762F2" w:rsidRDefault="005207BD" w:rsidP="005207BD">
            <w:pPr>
              <w:rPr>
                <w:rStyle w:val="letra8pt"/>
                <w:rFonts w:ascii="Roboto Condensed" w:hAnsi="Roboto Condensed"/>
                <w:b/>
                <w:bCs/>
                <w:i/>
                <w:iCs/>
                <w:color w:val="0070C0"/>
                <w:spacing w:val="2"/>
                <w:u w:val="single"/>
              </w:rPr>
            </w:pPr>
            <w:r w:rsidRPr="002762F2">
              <w:rPr>
                <w:rStyle w:val="letra8pt"/>
                <w:rFonts w:ascii="Roboto Condensed" w:hAnsi="Roboto Condensed"/>
                <w:b/>
                <w:bCs/>
                <w:i/>
                <w:iCs/>
                <w:color w:val="0070C0"/>
                <w:spacing w:val="2"/>
                <w:highlight w:val="yellow"/>
                <w:u w:val="single"/>
              </w:rPr>
              <w:t>Santa Lucía</w:t>
            </w:r>
          </w:p>
        </w:tc>
        <w:tc>
          <w:tcPr>
            <w:tcW w:w="2835" w:type="dxa"/>
          </w:tcPr>
          <w:p w14:paraId="7A4C8E8C" w14:textId="5483FE4E" w:rsidR="005207BD" w:rsidRPr="002762F2" w:rsidRDefault="005207BD" w:rsidP="005207BD">
            <w:pPr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</w:pPr>
          </w:p>
        </w:tc>
      </w:tr>
      <w:tr w:rsidR="005207BD" w14:paraId="02226EF4" w14:textId="77777777" w:rsidTr="002762F2">
        <w:tc>
          <w:tcPr>
            <w:tcW w:w="846" w:type="dxa"/>
          </w:tcPr>
          <w:p w14:paraId="5EE878C6" w14:textId="4EF11543" w:rsidR="005207BD" w:rsidRPr="002762F2" w:rsidRDefault="005207BD" w:rsidP="005207BD">
            <w:pPr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37.</w:t>
            </w:r>
          </w:p>
        </w:tc>
        <w:tc>
          <w:tcPr>
            <w:tcW w:w="3260" w:type="dxa"/>
          </w:tcPr>
          <w:p w14:paraId="176E2EA1" w14:textId="4A9056C1" w:rsidR="005207BD" w:rsidRPr="002762F2" w:rsidRDefault="005207BD" w:rsidP="005207BD">
            <w:pPr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Sultanía de Omán</w:t>
            </w:r>
          </w:p>
        </w:tc>
        <w:tc>
          <w:tcPr>
            <w:tcW w:w="2835" w:type="dxa"/>
          </w:tcPr>
          <w:p w14:paraId="78FFA323" w14:textId="178DFAFA" w:rsidR="005207BD" w:rsidRPr="002762F2" w:rsidRDefault="005207BD" w:rsidP="005207BD">
            <w:pPr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</w:pPr>
            <w:r w:rsidRPr="002762F2">
              <w:rPr>
                <w:rStyle w:val="letra8pt"/>
                <w:rFonts w:ascii="Roboto Condensed" w:hAnsi="Roboto Condensed"/>
                <w:i/>
                <w:iCs/>
                <w:color w:val="0070C0"/>
                <w:spacing w:val="2"/>
              </w:rPr>
              <w:t>Sultanía de Omán</w:t>
            </w:r>
          </w:p>
        </w:tc>
      </w:tr>
    </w:tbl>
    <w:p w14:paraId="261FC7B3" w14:textId="77777777" w:rsidR="005207BD" w:rsidRDefault="005207BD" w:rsidP="005207BD"/>
    <w:p w14:paraId="6AE4FF89" w14:textId="7E040832" w:rsidR="00462815" w:rsidRDefault="002762F2" w:rsidP="002762F2">
      <w:pPr>
        <w:autoSpaceDE w:val="0"/>
        <w:autoSpaceDN w:val="0"/>
        <w:adjustRightInd w:val="0"/>
      </w:pPr>
      <w:r>
        <w:t xml:space="preserve">De acuerdo con los considerandos del Decreto 1496 de 2024, las razones para haber retirado de la lista los 12 paises anteriormente destacados radican </w:t>
      </w:r>
      <w:r w:rsidRPr="002762F2">
        <w:t xml:space="preserve">cuentan con </w:t>
      </w:r>
      <w:r>
        <w:t xml:space="preserve">un </w:t>
      </w:r>
      <w:r w:rsidRPr="002762F2">
        <w:t>tratado internacional suscrito que</w:t>
      </w:r>
      <w:r>
        <w:t xml:space="preserve"> </w:t>
      </w:r>
      <w:r w:rsidRPr="002762F2">
        <w:t>permit</w:t>
      </w:r>
      <w:r>
        <w:t>e</w:t>
      </w:r>
      <w:r w:rsidRPr="002762F2">
        <w:t xml:space="preserve"> el intercambio de información tributaria o de relevancia tributaria con Colombia</w:t>
      </w:r>
      <w:r>
        <w:t xml:space="preserve"> </w:t>
      </w:r>
      <w:r w:rsidRPr="002762F2">
        <w:t>y/o ratificaron la Convención de Asistencia Mutua en Materia Fiscal, de conformidad con</w:t>
      </w:r>
      <w:r>
        <w:t xml:space="preserve"> </w:t>
      </w:r>
      <w:r w:rsidRPr="002762F2">
        <w:t>el artículo 1.2.2.5.2 del Decreto 1625 de 2016</w:t>
      </w:r>
      <w:r>
        <w:t xml:space="preserve">. Adicionalmente, </w:t>
      </w:r>
      <w:r w:rsidRPr="002762F2">
        <w:t>existe</w:t>
      </w:r>
      <w:r>
        <w:t xml:space="preserve"> actualmente</w:t>
      </w:r>
      <w:r w:rsidRPr="002762F2">
        <w:t xml:space="preserve"> un efectivo</w:t>
      </w:r>
      <w:r>
        <w:t xml:space="preserve"> </w:t>
      </w:r>
      <w:r w:rsidRPr="002762F2">
        <w:t>intercambio de información en virtud de un acuerdo o convención internacional</w:t>
      </w:r>
      <w:r>
        <w:t xml:space="preserve"> </w:t>
      </w:r>
      <w:r w:rsidRPr="002762F2">
        <w:t>con corte</w:t>
      </w:r>
      <w:r>
        <w:t xml:space="preserve"> </w:t>
      </w:r>
      <w:r w:rsidRPr="002762F2">
        <w:t>a 31 de diciembre de 2023</w:t>
      </w:r>
      <w:r>
        <w:t xml:space="preserve"> (ver </w:t>
      </w:r>
      <w:r w:rsidR="00462815">
        <w:t xml:space="preserve"> </w:t>
      </w:r>
      <w:hyperlink r:id="rId10" w:history="1">
        <w:r w:rsidR="00462815" w:rsidRPr="00462815">
          <w:rPr>
            <w:rStyle w:val="Hipervnculo"/>
          </w:rPr>
          <w:t>R</w:t>
        </w:r>
        <w:r w:rsidR="002E26F0" w:rsidRPr="00462815">
          <w:rPr>
            <w:rStyle w:val="Hipervnculo"/>
          </w:rPr>
          <w:t xml:space="preserve">esolución </w:t>
        </w:r>
        <w:r>
          <w:rPr>
            <w:rStyle w:val="Hipervnculo"/>
          </w:rPr>
          <w:t xml:space="preserve">DIAN </w:t>
        </w:r>
        <w:r w:rsidR="002E26F0" w:rsidRPr="00462815">
          <w:rPr>
            <w:rStyle w:val="Hipervnculo"/>
          </w:rPr>
          <w:t>0091 de diciembre 20 d</w:t>
        </w:r>
        <w:r w:rsidR="00462815" w:rsidRPr="00462815">
          <w:rPr>
            <w:rStyle w:val="Hipervnculo"/>
          </w:rPr>
          <w:t>e 2019</w:t>
        </w:r>
      </w:hyperlink>
      <w:r>
        <w:t xml:space="preserve"> donde dicha entidad había informado</w:t>
      </w:r>
      <w:r w:rsidR="00462815">
        <w:t xml:space="preserve"> que ya se han firmado acuerdos de intercambio de información con </w:t>
      </w:r>
      <w:r w:rsidR="00500180">
        <w:t xml:space="preserve">20 </w:t>
      </w:r>
      <w:r w:rsidR="002E26F0">
        <w:t>territorios</w:t>
      </w:r>
      <w:r w:rsidR="009D436C">
        <w:t xml:space="preserve"> </w:t>
      </w:r>
      <w:r w:rsidR="00500180">
        <w:t xml:space="preserve">o jurisdicciones </w:t>
      </w:r>
      <w:r w:rsidR="00462815">
        <w:t xml:space="preserve">de los que </w:t>
      </w:r>
      <w:r>
        <w:t xml:space="preserve">inicialmente </w:t>
      </w:r>
      <w:r w:rsidR="00462815">
        <w:t xml:space="preserve">figuran en la </w:t>
      </w:r>
      <w:r w:rsidR="00500180">
        <w:t xml:space="preserve">lista </w:t>
      </w:r>
      <w:r w:rsidR="00462815">
        <w:t>de territorios no cooperantes de</w:t>
      </w:r>
      <w:r w:rsidR="00500180">
        <w:t xml:space="preserve">l artículo 1.2.2.5.1 </w:t>
      </w:r>
      <w:r w:rsidR="00462815">
        <w:t>del DUT 1625 de 2016</w:t>
      </w:r>
      <w:r>
        <w:t>)</w:t>
      </w:r>
      <w:r w:rsidR="00462815">
        <w:t xml:space="preserve"> </w:t>
      </w:r>
    </w:p>
    <w:p w14:paraId="2DA4D936" w14:textId="77777777" w:rsidR="00462815" w:rsidRDefault="00462815" w:rsidP="009D436C"/>
    <w:p w14:paraId="0F99DA95" w14:textId="77777777" w:rsidR="001E6F78" w:rsidRDefault="001E6F78" w:rsidP="001E6F78">
      <w:pPr>
        <w:pStyle w:val="Ttulo2"/>
      </w:pPr>
      <w:r>
        <w:t>Los cambios que hizo la Ley 1819 de 2016 al artículo 260-7 del ET</w:t>
      </w:r>
    </w:p>
    <w:p w14:paraId="1C634CB7" w14:textId="53B80C1F" w:rsidR="00A2159B" w:rsidRDefault="001E6F78" w:rsidP="009D436C">
      <w:r>
        <w:t xml:space="preserve">Es importante destacar que el artículo 109 de la Ley 1819 de 2016 modificó el </w:t>
      </w:r>
      <w:hyperlink r:id="rId11" w:anchor="260-7" w:history="1">
        <w:r w:rsidRPr="00A92DEF">
          <w:rPr>
            <w:rStyle w:val="Hipervnculo"/>
          </w:rPr>
          <w:t>artículo 260-7</w:t>
        </w:r>
        <w:r w:rsidR="004E0C8B" w:rsidRPr="00A92DEF">
          <w:rPr>
            <w:rStyle w:val="Hipervnculo"/>
          </w:rPr>
          <w:t xml:space="preserve"> del ET</w:t>
        </w:r>
      </w:hyperlink>
      <w:r>
        <w:t xml:space="preserve"> para establecer que el Gobierno nacional, a partir del año 2017 y siguientes, ya no seguiría definiendo un solo listado de </w:t>
      </w:r>
      <w:r w:rsidRPr="00A2159B">
        <w:rPr>
          <w:b/>
          <w:i/>
        </w:rPr>
        <w:t>“paraísos fiscales”</w:t>
      </w:r>
      <w:r>
        <w:t xml:space="preserve"> sino dos listados diferentes, </w:t>
      </w:r>
      <w:r w:rsidR="00683162">
        <w:t xml:space="preserve">pues existir’ia </w:t>
      </w:r>
      <w:r>
        <w:t xml:space="preserve">uno al que se llamaría el listado de </w:t>
      </w:r>
      <w:r w:rsidRPr="00A2159B">
        <w:rPr>
          <w:b/>
          <w:i/>
        </w:rPr>
        <w:t>“jurisdicciones no cooperantes de baja o nula imposición</w:t>
      </w:r>
      <w:r w:rsidR="00A2159B" w:rsidRPr="00A2159B">
        <w:rPr>
          <w:b/>
          <w:i/>
        </w:rPr>
        <w:t>”</w:t>
      </w:r>
      <w:r w:rsidR="00A2159B">
        <w:t xml:space="preserve"> (y que se elegirán con los mismos criterios con que antes se definía a los “paraísos fiscales” para lo cual basta con le aplique uno cualquiera de las cuatro características mencionadas en el numeral 1 del artículo 260-7 del ET) y otro al que se llamaría el listado de </w:t>
      </w:r>
      <w:r w:rsidR="00A2159B" w:rsidRPr="00A2159B">
        <w:rPr>
          <w:b/>
          <w:i/>
        </w:rPr>
        <w:t>“regímenes tributarios preferenciales”</w:t>
      </w:r>
      <w:r w:rsidR="00A2159B">
        <w:t>(para lo cual se necesitará que le apliquen por lo menos dos de las cinco características que se mencionan en el numeral 2 del artículo 260-7 del ET)</w:t>
      </w:r>
      <w:r w:rsidR="00F405CB">
        <w:t>.</w:t>
      </w:r>
    </w:p>
    <w:p w14:paraId="6B8189DD" w14:textId="77777777" w:rsidR="00F405CB" w:rsidRDefault="00F405CB" w:rsidP="009D436C"/>
    <w:p w14:paraId="114890F6" w14:textId="56378306" w:rsidR="00F405CB" w:rsidRDefault="00F405CB" w:rsidP="009D436C">
      <w:r>
        <w:t xml:space="preserve">Y justamente, </w:t>
      </w:r>
      <w:hyperlink r:id="rId12" w:history="1">
        <w:r w:rsidRPr="00D51275">
          <w:rPr>
            <w:rStyle w:val="Hipervnculo"/>
          </w:rPr>
          <w:t xml:space="preserve">mediante el </w:t>
        </w:r>
        <w:r w:rsidR="00731F2C" w:rsidRPr="00D51275">
          <w:rPr>
            <w:rStyle w:val="Hipervnculo"/>
          </w:rPr>
          <w:t>Decreto 1357 de octubre 28 de 2021, el Ministerio de Hacienda</w:t>
        </w:r>
        <w:r w:rsidR="00D51275" w:rsidRPr="00D51275">
          <w:rPr>
            <w:rStyle w:val="Hipervnculo"/>
          </w:rPr>
          <w:t xml:space="preserve"> agregó los artículos 1.2.2.6.1 hasta 1.2.2.6.8 al DUT 1625 de 2016 para fijar los criterios a partir de los cuales el gobierno de turno podrá señalar a los territorios o países que calificarían como “regímenes tributarios preferenciales”</w:t>
        </w:r>
      </w:hyperlink>
    </w:p>
    <w:p w14:paraId="2882C001" w14:textId="77777777" w:rsidR="00A2159B" w:rsidRDefault="00A2159B" w:rsidP="009D436C"/>
    <w:p w14:paraId="3B0CB0B1" w14:textId="450FD03B" w:rsidR="009D436C" w:rsidRDefault="00A2159B" w:rsidP="009D436C">
      <w:r>
        <w:t xml:space="preserve">Adicionalmente, y tomando en cuenta otros cambios introducidos por la Ley 1819 de 2016 al ET, </w:t>
      </w:r>
      <w:r w:rsidR="009D436C">
        <w:t xml:space="preserve">los efectos </w:t>
      </w:r>
      <w:r>
        <w:t>más importantes que se</w:t>
      </w:r>
      <w:r w:rsidR="003608BB">
        <w:t xml:space="preserve"> originan</w:t>
      </w:r>
      <w:r>
        <w:t xml:space="preserve"> cuando un país o territorio quede señalado ya sea como una “jurisdicción no cooperante” o un “régimen tributario preferencial”, serían </w:t>
      </w:r>
      <w:r w:rsidR="009D436C">
        <w:t>los siguientes:</w:t>
      </w:r>
    </w:p>
    <w:p w14:paraId="70E35755" w14:textId="77777777" w:rsidR="009D436C" w:rsidRDefault="009D436C" w:rsidP="009D436C"/>
    <w:p w14:paraId="5C9A3A55" w14:textId="3EAC1A95" w:rsidR="009D436C" w:rsidRDefault="009D436C" w:rsidP="009D436C">
      <w:r>
        <w:t xml:space="preserve">1-Para las personas naturales de nacionalidad colombiana, si viven o tienen residencia fiscal en alguno de estos países o territorios, y si obtienen en esos países menos del 50% de sus ingresos anuales, o si en esos países tienen ubicado menos del 50% del total de sus activos, seguirán siendo considerados como si fuesen residentes en Colombia, lo cual implica que en el caso de </w:t>
      </w:r>
      <w:r w:rsidRPr="00084744">
        <w:t>tener que presentar declaración anual de renta ante el gobierno colombiano deben</w:t>
      </w:r>
      <w:r w:rsidR="003A515A">
        <w:t xml:space="preserve"> aplicar el sistema de cedulación e</w:t>
      </w:r>
      <w:r w:rsidRPr="00084744">
        <w:t xml:space="preserve"> incluir tanto el patrimonio poseído en Colombia, como el poseído en el exterior, e igualmente todas las rentas obtenidas en Colombia y en el exterior (</w:t>
      </w:r>
      <w:hyperlink r:id="rId13" w:anchor="9" w:history="1">
        <w:r w:rsidR="007725FD" w:rsidRPr="00A92DEF">
          <w:rPr>
            <w:rStyle w:val="Hipervnculo"/>
          </w:rPr>
          <w:t>ver artículos 9 y 10 del E</w:t>
        </w:r>
        <w:r w:rsidR="00DE0D91">
          <w:rPr>
            <w:rStyle w:val="Hipervnculo"/>
          </w:rPr>
          <w:t>T</w:t>
        </w:r>
      </w:hyperlink>
      <w:r w:rsidR="007725FD">
        <w:t>). Adviértase que en el literal f) del articulo 10 del ET se sigue leyendo la expresión “paraísos fiscales” y por tanto es claro que a los congresistas que aprobaron la Ley 1819 de 2016 se les olvidó actualizar dicha frase para que fuera reemplazada por “jurisdicción no cooperante o régimen tributario especial”, de forma que dicha norma sí utilizara el nuevo lenguaje que ahora se utiliza dentro del artículo 260-7 del ET</w:t>
      </w:r>
      <w:r w:rsidR="00683162">
        <w:t>).</w:t>
      </w:r>
      <w:r w:rsidR="007725FD">
        <w:t xml:space="preserve"> </w:t>
      </w:r>
    </w:p>
    <w:p w14:paraId="23BCC2CC" w14:textId="77777777" w:rsidR="009D436C" w:rsidRPr="00084744" w:rsidRDefault="009D436C" w:rsidP="009D436C"/>
    <w:p w14:paraId="1B89BF83" w14:textId="4522B07E" w:rsidR="009D436C" w:rsidRPr="00084744" w:rsidRDefault="009D436C" w:rsidP="009D436C">
      <w:r>
        <w:t>2- En el caso de las inversiones de capital exterior de portafolio, si el inversionista está ubicado en un</w:t>
      </w:r>
      <w:r w:rsidR="007725FD">
        <w:t>a “jurisdicción no cooperante” o en un “régimen tributario preferencial”</w:t>
      </w:r>
      <w:r>
        <w:t xml:space="preserve">, la retención a título de renta que se le practicará en Colombia a los rendimientos </w:t>
      </w:r>
      <w:r w:rsidRPr="00084744">
        <w:t>financieros y demás utilidades generadas con sus operaciones de portafolio será del 25%. Si no estuviera ubicado en</w:t>
      </w:r>
      <w:r>
        <w:t xml:space="preserve"> un par</w:t>
      </w:r>
      <w:r w:rsidR="007725FD">
        <w:t>aíso fiscal, sería del 14</w:t>
      </w:r>
      <w:r w:rsidRPr="00084744">
        <w:t xml:space="preserve">% (ver </w:t>
      </w:r>
      <w:hyperlink r:id="rId14" w:anchor="18-1" w:history="1">
        <w:r w:rsidRPr="00A92DEF">
          <w:rPr>
            <w:rStyle w:val="Hipervnculo"/>
          </w:rPr>
          <w:t xml:space="preserve">literal “e” del </w:t>
        </w:r>
        <w:r w:rsidR="007725FD" w:rsidRPr="00A92DEF">
          <w:rPr>
            <w:rStyle w:val="Hipervnculo"/>
          </w:rPr>
          <w:t xml:space="preserve">numeral 4 del </w:t>
        </w:r>
        <w:r w:rsidRPr="00A92DEF">
          <w:rPr>
            <w:rStyle w:val="Hipervnculo"/>
          </w:rPr>
          <w:t>artículo 18-1 del E</w:t>
        </w:r>
        <w:r w:rsidR="00DE0D91">
          <w:rPr>
            <w:rStyle w:val="Hipervnculo"/>
          </w:rPr>
          <w:t>T</w:t>
        </w:r>
      </w:hyperlink>
      <w:r w:rsidR="007725FD">
        <w:t xml:space="preserve"> en el cual se sigue leyendo “paraísos fiscales” pues los congresistas que aprobaron la Ley 1819 de 2016 se olvidaron también de actualizar dicha frase</w:t>
      </w:r>
      <w:r w:rsidR="00BF7AAE">
        <w:t>).</w:t>
      </w:r>
    </w:p>
    <w:p w14:paraId="0E84CF4C" w14:textId="77777777" w:rsidR="009D436C" w:rsidRDefault="009D436C" w:rsidP="009D436C"/>
    <w:p w14:paraId="18114DC2" w14:textId="6E6DB174" w:rsidR="009D436C" w:rsidRDefault="009D436C" w:rsidP="009D436C">
      <w:r>
        <w:lastRenderedPageBreak/>
        <w:t>3-Cuando las empresas o personas ubicadas en Colombia que sean declarantes de renta efectúen algún tipo de operación (compras, ventas, préstamos, etc.) con terceros ubicados en países o territorios considerados</w:t>
      </w:r>
      <w:r w:rsidR="00BF7AAE">
        <w:t xml:space="preserve"> como “jurisdicción no cooperante” o como “régimen tributario preferencial”</w:t>
      </w:r>
      <w:r>
        <w:t xml:space="preserve">, y sin importar si el tercero es o no un vinculado económico, tales operaciones se deben realizar con sujeción al </w:t>
      </w:r>
      <w:r w:rsidRPr="00B03FE4">
        <w:t xml:space="preserve">régimen de precios de transferencia de los artículos </w:t>
      </w:r>
      <w:hyperlink r:id="rId15" w:anchor="260-1" w:history="1">
        <w:r w:rsidRPr="00683162">
          <w:rPr>
            <w:rStyle w:val="Hipervnculo"/>
          </w:rPr>
          <w:t>260-1 a 260-11 del E.T</w:t>
        </w:r>
      </w:hyperlink>
      <w:r w:rsidRPr="00B03FE4">
        <w:t xml:space="preserve">., </w:t>
      </w:r>
      <w:r w:rsidRPr="00D75BB0">
        <w:t>y con la obligación en todos los casos de presentar al final del año la respectiva declaración informativa</w:t>
      </w:r>
      <w:r w:rsidRPr="00084744">
        <w:t xml:space="preserve"> (ver parágrafo 2 d</w:t>
      </w:r>
      <w:r w:rsidR="00BF7AAE">
        <w:t xml:space="preserve">el </w:t>
      </w:r>
      <w:r w:rsidR="00DE0D91">
        <w:t>260-7 del ET</w:t>
      </w:r>
      <w:r w:rsidR="00F929A7">
        <w:t xml:space="preserve"> y el </w:t>
      </w:r>
      <w:hyperlink r:id="rId16" w:anchor="1.2.2.1.2" w:history="1">
        <w:r w:rsidR="00F929A7" w:rsidRPr="00F929A7">
          <w:rPr>
            <w:rStyle w:val="Hipervnculo"/>
          </w:rPr>
          <w:t>numeral 2 del artículo 1.2.2.1.2 del DUT 1625 de 2016 luego de ser modificado con el Decreto 2120 de diciembre 15 de 2017</w:t>
        </w:r>
      </w:hyperlink>
      <w:r w:rsidRPr="00084744">
        <w:t>). En cuanto a la documentación comprobatoria sobre d</w:t>
      </w:r>
      <w:r w:rsidR="004E6213">
        <w:t xml:space="preserve">ichas operaciones, el numeral 2.3 del artículo </w:t>
      </w:r>
      <w:r w:rsidR="00F929A7">
        <w:t>1.2.</w:t>
      </w:r>
      <w:r w:rsidR="00BF7AAE">
        <w:t xml:space="preserve">2.1.2 </w:t>
      </w:r>
      <w:r w:rsidR="004E6213">
        <w:t xml:space="preserve">del DUT 1625 de octubre de 2016, luego de ser modificado con el Decreto 2120 de diciembre 15 de 2017, </w:t>
      </w:r>
      <w:r w:rsidRPr="00084744">
        <w:t>dispuso que </w:t>
      </w:r>
      <w:r w:rsidRPr="004E6213">
        <w:t>solo sería obligatoria cuando las operaciones durante el año hayan superado 10.000 UVT</w:t>
      </w:r>
      <w:r w:rsidRPr="00084744">
        <w:t>.</w:t>
      </w:r>
    </w:p>
    <w:p w14:paraId="6AE0D953" w14:textId="77777777" w:rsidR="009D436C" w:rsidRPr="00084744" w:rsidRDefault="009D436C" w:rsidP="009D436C"/>
    <w:p w14:paraId="4EFE3ACA" w14:textId="736CCBE6" w:rsidR="009D436C" w:rsidRDefault="009D436C" w:rsidP="009D436C">
      <w:r>
        <w:t>4-Cuando se efectúen pagos o abonos en cuenta por cualquier concepto a los terceros ubicados en</w:t>
      </w:r>
      <w:r w:rsidR="00BF7AAE">
        <w:t xml:space="preserve"> “jurisdicciones no cooperantes” o en “regímenes tributarios preferenciales”</w:t>
      </w:r>
      <w:r>
        <w:t xml:space="preserve">, y siempre que no se trate de los intereses y/o demás rendimientos de las inversiones de capital exterior de portafolio reguladas en el </w:t>
      </w:r>
      <w:hyperlink r:id="rId17" w:history="1">
        <w:r w:rsidRPr="005F6C37">
          <w:rPr>
            <w:rStyle w:val="Hipervnculo"/>
          </w:rPr>
          <w:t>artículo 18-1 del ET</w:t>
        </w:r>
      </w:hyperlink>
      <w:r>
        <w:t>, la retenci</w:t>
      </w:r>
      <w:r w:rsidR="00BF7AAE">
        <w:t>ón a título de r</w:t>
      </w:r>
      <w:r w:rsidR="00B4337F">
        <w:t>enta será del 35</w:t>
      </w:r>
      <w:r w:rsidR="00B12F00">
        <w:t>%</w:t>
      </w:r>
      <w:r w:rsidR="005232A5">
        <w:t>, es decir la misma tarifa con que tributan las personas jurídicas en Colombia</w:t>
      </w:r>
      <w:r w:rsidR="00B12F00">
        <w:t xml:space="preserve"> (ver </w:t>
      </w:r>
      <w:hyperlink r:id="rId18" w:anchor="408" w:history="1">
        <w:r w:rsidRPr="004E6213">
          <w:rPr>
            <w:rStyle w:val="Hipervnculo"/>
          </w:rPr>
          <w:t>p</w:t>
        </w:r>
        <w:r w:rsidR="00DE0D91">
          <w:rPr>
            <w:rStyle w:val="Hipervnculo"/>
          </w:rPr>
          <w:t>arágrafo del artículo 408 del E</w:t>
        </w:r>
        <w:r w:rsidRPr="004E6213">
          <w:rPr>
            <w:rStyle w:val="Hipervnculo"/>
          </w:rPr>
          <w:t>T</w:t>
        </w:r>
      </w:hyperlink>
      <w:r>
        <w:t>). Además, en relación con la no</w:t>
      </w:r>
      <w:r w:rsidR="005232A5">
        <w:t xml:space="preserve">rma del </w:t>
      </w:r>
      <w:hyperlink r:id="rId19" w:anchor="124-2" w:history="1">
        <w:r w:rsidR="00DE0D91">
          <w:rPr>
            <w:rStyle w:val="Hipervnculo"/>
          </w:rPr>
          <w:t>artículo 124-2 del E</w:t>
        </w:r>
        <w:r w:rsidR="005232A5" w:rsidRPr="00DE0D91">
          <w:rPr>
            <w:rStyle w:val="Hipervnculo"/>
          </w:rPr>
          <w:t>T</w:t>
        </w:r>
      </w:hyperlink>
      <w:r w:rsidR="005232A5">
        <w:t xml:space="preserve">, </w:t>
      </w:r>
      <w:r>
        <w:t xml:space="preserve">en la </w:t>
      </w:r>
      <w:r w:rsidR="005232A5">
        <w:t xml:space="preserve">cual </w:t>
      </w:r>
      <w:r>
        <w:t xml:space="preserve">se dispone que no se podrán deducir los costos y gastos en que se incurra con terceros ubicados en </w:t>
      </w:r>
      <w:r w:rsidR="00C50E04">
        <w:t>“jurisdicciones no cooperantes” o en “regíme</w:t>
      </w:r>
      <w:r w:rsidR="005232A5">
        <w:t>nes tributarios preferenciales”</w:t>
      </w:r>
      <w:r w:rsidR="00C50E04">
        <w:t xml:space="preserve"> </w:t>
      </w:r>
      <w:r>
        <w:t xml:space="preserve">a menos que se practique la respectiva retención a título de renta, </w:t>
      </w:r>
      <w:r w:rsidR="005232A5">
        <w:t xml:space="preserve">es importante destacar que </w:t>
      </w:r>
      <w:r>
        <w:t xml:space="preserve">la DIAN indicó, en </w:t>
      </w:r>
      <w:r w:rsidRPr="00084744">
        <w:t>el</w:t>
      </w:r>
      <w:r>
        <w:t xml:space="preserve"> </w:t>
      </w:r>
      <w:hyperlink r:id="rId20" w:history="1">
        <w:r w:rsidRPr="00084744">
          <w:rPr>
            <w:rStyle w:val="Hipervnculo"/>
          </w:rPr>
          <w:t>Concepto 31856 de mayo de 2014</w:t>
        </w:r>
      </w:hyperlink>
      <w:r w:rsidRPr="00084744">
        <w:t>, que</w:t>
      </w:r>
      <w:r w:rsidR="005232A5">
        <w:t xml:space="preserve"> dicha retención solo se</w:t>
      </w:r>
      <w:r>
        <w:t xml:space="preserve"> debe practica</w:t>
      </w:r>
      <w:r w:rsidR="005232A5">
        <w:t>r si el ingreso que percibe dicho</w:t>
      </w:r>
      <w:r>
        <w:t xml:space="preserve"> tercero es considerado </w:t>
      </w:r>
      <w:r w:rsidR="005232A5">
        <w:t xml:space="preserve">como un ingreso </w:t>
      </w:r>
      <w:r>
        <w:t xml:space="preserve">de fuente nacional (ver </w:t>
      </w:r>
      <w:hyperlink r:id="rId21" w:anchor="24" w:history="1">
        <w:r w:rsidR="00DE0D91">
          <w:rPr>
            <w:rStyle w:val="Hipervnculo"/>
          </w:rPr>
          <w:t>artículos 24 y 25 del E</w:t>
        </w:r>
        <w:r w:rsidRPr="00DE0D91">
          <w:rPr>
            <w:rStyle w:val="Hipervnculo"/>
          </w:rPr>
          <w:t>T</w:t>
        </w:r>
      </w:hyperlink>
      <w:r>
        <w:t xml:space="preserve">.). Por tanto, en las importaciones de bienes no se les debe practicar la retención. </w:t>
      </w:r>
    </w:p>
    <w:p w14:paraId="6777F0B8" w14:textId="77777777" w:rsidR="00C50E04" w:rsidRDefault="00C50E04" w:rsidP="009D436C"/>
    <w:p w14:paraId="7F5AA393" w14:textId="4FC47AE0" w:rsidR="00C50E04" w:rsidRDefault="00C50E04" w:rsidP="009D436C">
      <w:r>
        <w:t xml:space="preserve">5- </w:t>
      </w:r>
      <w:r w:rsidR="00C120B6">
        <w:t xml:space="preserve">De acuerdo con </w:t>
      </w:r>
      <w:hyperlink r:id="rId22" w:anchor="895" w:history="1">
        <w:r w:rsidR="00C120B6" w:rsidRPr="00083E86">
          <w:rPr>
            <w:rStyle w:val="Hipervnculo"/>
          </w:rPr>
          <w:t>los artículos 895 y 896 del ET</w:t>
        </w:r>
      </w:hyperlink>
      <w:r w:rsidR="00C120B6">
        <w:t xml:space="preserve"> (los cuales fueron agregados  con el artículo 69 de la Ley 1943 de 2018</w:t>
      </w:r>
      <w:r w:rsidR="00DE0D91">
        <w:t xml:space="preserve">, ratificados con el artículo 77 de la Ley 2010 de 2019 y </w:t>
      </w:r>
      <w:hyperlink r:id="rId23" w:history="1">
        <w:r w:rsidR="00DE0D91" w:rsidRPr="001B6E3B">
          <w:rPr>
            <w:rStyle w:val="Hipervnculo"/>
          </w:rPr>
          <w:t>reglamentados</w:t>
        </w:r>
        <w:r w:rsidR="001B6E3B" w:rsidRPr="001B6E3B">
          <w:rPr>
            <w:rStyle w:val="Hipervnculo"/>
          </w:rPr>
          <w:t xml:space="preserve"> con el Decreto 598 de abril 26 de 2020</w:t>
        </w:r>
      </w:hyperlink>
      <w:r w:rsidR="00C120B6">
        <w:t>), si una sociedad colombiana que califique como CHC (Compañía Holding Colombia</w:t>
      </w:r>
      <w:r w:rsidR="00083E86">
        <w:t>na</w:t>
      </w:r>
      <w:r w:rsidR="00C120B6">
        <w:t>) llega a distribuir sus dividendos a socios o accionistas que estén ubicados en jurisdicciones no cooperantes, en tal caso  dicho</w:t>
      </w:r>
      <w:r w:rsidR="00083E86">
        <w:t>s</w:t>
      </w:r>
      <w:r w:rsidR="00C120B6">
        <w:t xml:space="preserve"> dividendo</w:t>
      </w:r>
      <w:r w:rsidR="00083E86">
        <w:t>s</w:t>
      </w:r>
      <w:r w:rsidR="00C120B6">
        <w:t xml:space="preserve"> sí le constituirá</w:t>
      </w:r>
      <w:r w:rsidR="00083E86">
        <w:t>n a tales socios o accionistas un</w:t>
      </w:r>
      <w:r w:rsidR="00C120B6">
        <w:t xml:space="preserve"> ingreso de fuente nacional </w:t>
      </w:r>
      <w:r w:rsidR="00C120B6" w:rsidRPr="00D75BB0">
        <w:t>y por</w:t>
      </w:r>
      <w:r w:rsidR="00083E86" w:rsidRPr="00D75BB0">
        <w:t xml:space="preserve"> </w:t>
      </w:r>
      <w:r w:rsidR="00C120B6" w:rsidRPr="00D75BB0">
        <w:t>tanto sí estará sometido a retención en la fuente</w:t>
      </w:r>
      <w:r w:rsidR="00083E86" w:rsidRPr="00D75BB0">
        <w:t xml:space="preserve"> (algo que no sucedería si el socio o accionista estuviera ubicado en otro país o territorio que no sea considerado jurisdicción no cooperante)</w:t>
      </w:r>
      <w:r w:rsidR="00C120B6">
        <w:t xml:space="preserve">. De igual forma, si dichos socios o accionistas llegan a vender las acciones o cuotas </w:t>
      </w:r>
      <w:r w:rsidR="00083E86">
        <w:t>poseí</w:t>
      </w:r>
      <w:r w:rsidR="00C120B6">
        <w:t xml:space="preserve">das en la CHC colombiana, dicha venta sí se considerará como un ingreso gravable con </w:t>
      </w:r>
      <w:r w:rsidR="00083E86">
        <w:t>el impuesto de ganancia ocasional.</w:t>
      </w:r>
    </w:p>
    <w:p w14:paraId="33CC3D69" w14:textId="77777777" w:rsidR="00C50E04" w:rsidRDefault="00C50E04" w:rsidP="009D436C"/>
    <w:p w14:paraId="0A22381E" w14:textId="77777777" w:rsidR="009D436C" w:rsidRDefault="009D436C" w:rsidP="009D436C">
      <w:pPr>
        <w:pBdr>
          <w:bottom w:val="single" w:sz="12" w:space="1" w:color="auto"/>
        </w:pBdr>
      </w:pPr>
    </w:p>
    <w:p w14:paraId="5DCF9D7B" w14:textId="77777777" w:rsidR="009D436C" w:rsidRDefault="009D436C" w:rsidP="009D436C"/>
    <w:p w14:paraId="00D95593" w14:textId="77777777" w:rsidR="009D436C" w:rsidRDefault="009D436C" w:rsidP="009D436C">
      <w:r>
        <w:t>Material de Referencia</w:t>
      </w:r>
    </w:p>
    <w:p w14:paraId="6FC382FF" w14:textId="3FAAB93E" w:rsidR="00EF56CA" w:rsidRDefault="00EF56CA"/>
    <w:p w14:paraId="2C2F79AA" w14:textId="789FC7F4" w:rsidR="008D3488" w:rsidRPr="008D3488" w:rsidRDefault="008D3488" w:rsidP="008D3488">
      <w:pPr>
        <w:rPr>
          <w:rStyle w:val="Hipervnculo"/>
          <w:sz w:val="48"/>
          <w:szCs w:val="48"/>
          <w:lang w:eastAsia="es-ES_tradnl"/>
        </w:rPr>
      </w:pPr>
      <w:r>
        <w:fldChar w:fldCharType="begin"/>
      </w:r>
      <w:r>
        <w:instrText xml:space="preserve"> HYPERLINK "https://actualicese.com/criterios-para-identificar-paraisos-fiscales-fueron-reglamentados/" </w:instrText>
      </w:r>
      <w:r>
        <w:fldChar w:fldCharType="separate"/>
      </w:r>
      <w:r w:rsidRPr="008D3488">
        <w:rPr>
          <w:rStyle w:val="Hipervnculo"/>
        </w:rPr>
        <w:t>Criterios para identificar paraísos fiscales fueron reglamentados</w:t>
      </w:r>
    </w:p>
    <w:p w14:paraId="4D483E0A" w14:textId="136371C7" w:rsidR="008D3488" w:rsidRDefault="008D3488" w:rsidP="008D3488">
      <w:r>
        <w:fldChar w:fldCharType="end"/>
      </w:r>
    </w:p>
    <w:sectPr w:rsidR="008D3488" w:rsidSect="004378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F30AC"/>
    <w:multiLevelType w:val="hybridMultilevel"/>
    <w:tmpl w:val="FDC4E59A"/>
    <w:lvl w:ilvl="0" w:tplc="08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11122D"/>
    <w:multiLevelType w:val="hybridMultilevel"/>
    <w:tmpl w:val="9C20FB8E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733702">
    <w:abstractNumId w:val="1"/>
  </w:num>
  <w:num w:numId="2" w16cid:durableId="1470585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057"/>
    <w:rsid w:val="00083E86"/>
    <w:rsid w:val="000946C6"/>
    <w:rsid w:val="000C15BC"/>
    <w:rsid w:val="001A1454"/>
    <w:rsid w:val="001B6E3B"/>
    <w:rsid w:val="001E6F78"/>
    <w:rsid w:val="00254CB7"/>
    <w:rsid w:val="002762F2"/>
    <w:rsid w:val="00294CC7"/>
    <w:rsid w:val="002A4C65"/>
    <w:rsid w:val="002E26F0"/>
    <w:rsid w:val="0032013A"/>
    <w:rsid w:val="003608BB"/>
    <w:rsid w:val="003A515A"/>
    <w:rsid w:val="00422DC6"/>
    <w:rsid w:val="00437856"/>
    <w:rsid w:val="00457DB3"/>
    <w:rsid w:val="00462815"/>
    <w:rsid w:val="00480752"/>
    <w:rsid w:val="00482B72"/>
    <w:rsid w:val="004E0C8B"/>
    <w:rsid w:val="004E6213"/>
    <w:rsid w:val="004F75A0"/>
    <w:rsid w:val="00500180"/>
    <w:rsid w:val="005207BD"/>
    <w:rsid w:val="005232A5"/>
    <w:rsid w:val="005428B9"/>
    <w:rsid w:val="005F6C37"/>
    <w:rsid w:val="00683162"/>
    <w:rsid w:val="00731F2C"/>
    <w:rsid w:val="0073387F"/>
    <w:rsid w:val="00760907"/>
    <w:rsid w:val="007725FD"/>
    <w:rsid w:val="00785C50"/>
    <w:rsid w:val="008D3488"/>
    <w:rsid w:val="009D436C"/>
    <w:rsid w:val="00A00798"/>
    <w:rsid w:val="00A2159B"/>
    <w:rsid w:val="00A92DEF"/>
    <w:rsid w:val="00B03FE4"/>
    <w:rsid w:val="00B12F00"/>
    <w:rsid w:val="00B4337F"/>
    <w:rsid w:val="00BB06C1"/>
    <w:rsid w:val="00BF7AAE"/>
    <w:rsid w:val="00C120B6"/>
    <w:rsid w:val="00C46B82"/>
    <w:rsid w:val="00C50E04"/>
    <w:rsid w:val="00C73A2E"/>
    <w:rsid w:val="00C74D04"/>
    <w:rsid w:val="00CD16E1"/>
    <w:rsid w:val="00CE2901"/>
    <w:rsid w:val="00D27C92"/>
    <w:rsid w:val="00D373AE"/>
    <w:rsid w:val="00D51275"/>
    <w:rsid w:val="00D75BB0"/>
    <w:rsid w:val="00DB3C14"/>
    <w:rsid w:val="00DB5E92"/>
    <w:rsid w:val="00DC1057"/>
    <w:rsid w:val="00DE0D91"/>
    <w:rsid w:val="00E35370"/>
    <w:rsid w:val="00EC4697"/>
    <w:rsid w:val="00EF56CA"/>
    <w:rsid w:val="00F12F73"/>
    <w:rsid w:val="00F405CB"/>
    <w:rsid w:val="00F929A7"/>
    <w:rsid w:val="00FC1F19"/>
    <w:rsid w:val="00FE3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884E81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207BD"/>
    <w:rPr>
      <w:rFonts w:ascii="Times New Roman" w:eastAsia="Times New Roman" w:hAnsi="Times New Roman" w:cs="Times New Roman"/>
      <w:lang w:val="es-CO"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C50E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s-ES_tradnl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D43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9D43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vnculo">
    <w:name w:val="Hyperlink"/>
    <w:basedOn w:val="Fuentedeprrafopredeter"/>
    <w:uiPriority w:val="99"/>
    <w:unhideWhenUsed/>
    <w:rsid w:val="009D436C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C50E04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styleId="Refdecomentario">
    <w:name w:val="annotation reference"/>
    <w:basedOn w:val="Fuentedeprrafopredeter"/>
    <w:uiPriority w:val="99"/>
    <w:semiHidden/>
    <w:unhideWhenUsed/>
    <w:rsid w:val="00BB06C1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B06C1"/>
    <w:rPr>
      <w:rFonts w:asciiTheme="minorHAnsi" w:eastAsiaTheme="minorEastAsia" w:hAnsiTheme="minorHAnsi" w:cstheme="minorBidi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B06C1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B06C1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B06C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06C1"/>
    <w:rPr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6C1"/>
    <w:rPr>
      <w:rFonts w:ascii="Times New Roman" w:hAnsi="Times New Roman" w:cs="Times New Roman"/>
      <w:sz w:val="18"/>
      <w:szCs w:val="18"/>
    </w:rPr>
  </w:style>
  <w:style w:type="table" w:styleId="Tablaconcuadrcula">
    <w:name w:val="Table Grid"/>
    <w:basedOn w:val="Tablanormal"/>
    <w:uiPriority w:val="59"/>
    <w:rsid w:val="00DB5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DB5E92"/>
    <w:rPr>
      <w:b/>
      <w:bCs/>
    </w:rPr>
  </w:style>
  <w:style w:type="character" w:styleId="Hipervnculovisitado">
    <w:name w:val="FollowedHyperlink"/>
    <w:basedOn w:val="Fuentedeprrafopredeter"/>
    <w:uiPriority w:val="99"/>
    <w:semiHidden/>
    <w:unhideWhenUsed/>
    <w:rsid w:val="00422DC6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683162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207BD"/>
    <w:pPr>
      <w:ind w:left="720"/>
      <w:contextualSpacing/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letra8pt">
    <w:name w:val="letra8pt"/>
    <w:basedOn w:val="Fuentedeprrafopredeter"/>
    <w:rsid w:val="005207BD"/>
  </w:style>
  <w:style w:type="character" w:customStyle="1" w:styleId="baj">
    <w:name w:val="b_aj"/>
    <w:basedOn w:val="Fuentedeprrafopredeter"/>
    <w:rsid w:val="00520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tualicese.com/cambiara-el-listado-de-paraisos-fiscales-para-el-ano-2025/?srsltid=AfmBOoouwuW2BQdvS1SZuTuxTXtnrHOYc58wWl6JsXN_-2o6s_7eKR3v" TargetMode="External"/><Relationship Id="rId13" Type="http://schemas.openxmlformats.org/officeDocument/2006/relationships/hyperlink" Target="http://www.secretariasenado.gov.co/senado/basedoc/estatuto_tributario.html" TargetMode="External"/><Relationship Id="rId18" Type="http://schemas.openxmlformats.org/officeDocument/2006/relationships/hyperlink" Target="http://www.secretariasenado.gov.co/senado/basedoc/estatuto_tributario_pr016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ecretariasenado.gov.co/senado/basedoc/estatuto_tributario_pr001.html" TargetMode="External"/><Relationship Id="rId7" Type="http://schemas.openxmlformats.org/officeDocument/2006/relationships/hyperlink" Target="https://normograma.dian.gov.co/dian/compilacion/docs/decreto_1625_2016.htm" TargetMode="External"/><Relationship Id="rId12" Type="http://schemas.openxmlformats.org/officeDocument/2006/relationships/hyperlink" Target="https://actualicese.com/criterios-para-identificar-paraisos-fiscales-fueron-reglamentados/" TargetMode="External"/><Relationship Id="rId17" Type="http://schemas.openxmlformats.org/officeDocument/2006/relationships/hyperlink" Target="https://actualicese.com/instrucciones-para-la-declaracion-de-precios-de-transferencia-ag-2019-fueron-definidas-por-la-dian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normograma.dian.gov.co/dian/compilacion/docs/decreto_1625_2016.htm" TargetMode="External"/><Relationship Id="rId20" Type="http://schemas.openxmlformats.org/officeDocument/2006/relationships/hyperlink" Target="http://actualicese.com/normatividad/2014/05/26/concepto-31856-de-26-05-201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normograma.dian.gov.co/dian/compilacion/docs/estatuto_tributario.htm" TargetMode="External"/><Relationship Id="rId11" Type="http://schemas.openxmlformats.org/officeDocument/2006/relationships/hyperlink" Target="http://www.secretariasenado.gov.co/senado/basedoc/estatuto_tributario_pr010.html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minhacienda.gov.co/documents/d/portal/decreto_1496_diciembre_13_2024?download=true" TargetMode="External"/><Relationship Id="rId15" Type="http://schemas.openxmlformats.org/officeDocument/2006/relationships/hyperlink" Target="https://normograma.dian.gov.co/dian/compilacion/docs/estatuto_tributario.htm" TargetMode="External"/><Relationship Id="rId23" Type="http://schemas.openxmlformats.org/officeDocument/2006/relationships/hyperlink" Target="https://actualicese.com/ministerio-de-hacienda-reglamenta-regimen-de-las-companias-holding-colombianas-chc/" TargetMode="External"/><Relationship Id="rId10" Type="http://schemas.openxmlformats.org/officeDocument/2006/relationships/hyperlink" Target="https://www.dian.gov.co/normatividad/Normatividad/Resoluci%C3%B3n%20000091%20de%2020-12-2019.pdf" TargetMode="External"/><Relationship Id="rId19" Type="http://schemas.openxmlformats.org/officeDocument/2006/relationships/hyperlink" Target="http://www.secretariasenado.gov.co/senado/basedoc/estatuto_tributario_pr00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ormograma.dian.gov.co/dian/compilacion/docs/decreto_1966_2014.htm" TargetMode="External"/><Relationship Id="rId14" Type="http://schemas.openxmlformats.org/officeDocument/2006/relationships/hyperlink" Target="http://www.secretariasenado.gov.co/senado/basedoc/estatuto_tributario.html" TargetMode="External"/><Relationship Id="rId22" Type="http://schemas.openxmlformats.org/officeDocument/2006/relationships/hyperlink" Target="http://www.secretariasenado.gov.co/senado/basedoc/estatuto_tributario_pr035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1947</Words>
  <Characters>10714</Characters>
  <Application>Microsoft Office Word</Application>
  <DocSecurity>0</DocSecurity>
  <Lines>89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/¿Cambiará el listado de paraísos fiscales para el año 2023?</vt:lpstr>
      <vt:lpstr>    Los cambios que hizo la Ley 1819 de 2016 al artículo 260-7 del ET</vt:lpstr>
    </vt:vector>
  </TitlesOfParts>
  <Company/>
  <LinksUpToDate>false</LinksUpToDate>
  <CharactersWithSpaces>12636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Guevara</dc:creator>
  <cp:keywords/>
  <dc:description/>
  <cp:lastModifiedBy>diego guevara</cp:lastModifiedBy>
  <cp:revision>5</cp:revision>
  <dcterms:created xsi:type="dcterms:W3CDTF">2024-12-23T00:19:00Z</dcterms:created>
  <dcterms:modified xsi:type="dcterms:W3CDTF">2025-11-20T16:24:00Z</dcterms:modified>
</cp:coreProperties>
</file>